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4356" w:rsidRDefault="000A4356" w:rsidP="000A4356">
      <w:pPr>
        <w:tabs>
          <w:tab w:val="left" w:pos="3060"/>
        </w:tabs>
        <w:autoSpaceDE w:val="0"/>
        <w:autoSpaceDN w:val="0"/>
        <w:adjustRightInd w:val="0"/>
        <w:spacing w:after="0" w:line="240" w:lineRule="auto"/>
        <w:ind w:left="261"/>
        <w:jc w:val="righ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Внесено Администрацией Великого Новгорода</w:t>
      </w:r>
    </w:p>
    <w:p w:rsidR="000A4356" w:rsidRDefault="000A4356" w:rsidP="000A4356">
      <w:pPr>
        <w:tabs>
          <w:tab w:val="left" w:pos="3060"/>
        </w:tabs>
        <w:autoSpaceDE w:val="0"/>
        <w:autoSpaceDN w:val="0"/>
        <w:adjustRightInd w:val="0"/>
        <w:spacing w:after="0" w:line="240" w:lineRule="auto"/>
        <w:ind w:left="261"/>
        <w:jc w:val="righ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i/>
          <w:iCs/>
          <w:color w:val="000000"/>
        </w:rPr>
        <w:t xml:space="preserve">Проект № </w:t>
      </w:r>
      <w:r>
        <w:rPr>
          <w:rFonts w:ascii="Times New Roman" w:hAnsi="Times New Roman" w:cs="Times New Roman"/>
          <w:color w:val="000000"/>
        </w:rPr>
        <w:t>30003725</w:t>
      </w:r>
    </w:p>
    <w:p w:rsidR="000A4356" w:rsidRDefault="000A4356" w:rsidP="000A4356">
      <w:pPr>
        <w:autoSpaceDE w:val="0"/>
        <w:autoSpaceDN w:val="0"/>
        <w:adjustRightInd w:val="0"/>
        <w:spacing w:after="0" w:line="240" w:lineRule="auto"/>
        <w:ind w:left="261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Российская Федерация</w:t>
      </w:r>
    </w:p>
    <w:p w:rsidR="000A4356" w:rsidRDefault="000A4356" w:rsidP="000A4356">
      <w:pPr>
        <w:autoSpaceDE w:val="0"/>
        <w:autoSpaceDN w:val="0"/>
        <w:adjustRightInd w:val="0"/>
        <w:spacing w:after="0" w:line="240" w:lineRule="auto"/>
        <w:ind w:left="261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Дума Великого Новгорода</w:t>
      </w:r>
    </w:p>
    <w:p w:rsidR="000A4356" w:rsidRDefault="000A4356" w:rsidP="000A4356">
      <w:pPr>
        <w:autoSpaceDE w:val="0"/>
        <w:autoSpaceDN w:val="0"/>
        <w:adjustRightInd w:val="0"/>
        <w:spacing w:after="0" w:line="240" w:lineRule="auto"/>
        <w:ind w:left="261"/>
        <w:jc w:val="center"/>
        <w:rPr>
          <w:rFonts w:ascii="Times New Roman" w:hAnsi="Times New Roman" w:cs="Times New Roman"/>
          <w:color w:val="000000"/>
          <w:sz w:val="36"/>
          <w:szCs w:val="36"/>
        </w:rPr>
      </w:pPr>
      <w:proofErr w:type="gramStart"/>
      <w:r>
        <w:rPr>
          <w:rFonts w:ascii="Times New Roman" w:hAnsi="Times New Roman" w:cs="Times New Roman"/>
          <w:color w:val="000000"/>
          <w:sz w:val="36"/>
          <w:szCs w:val="36"/>
        </w:rPr>
        <w:t>Р</w:t>
      </w:r>
      <w:proofErr w:type="gramEnd"/>
      <w:r>
        <w:rPr>
          <w:rFonts w:ascii="Times New Roman" w:hAnsi="Times New Roman" w:cs="Times New Roman"/>
          <w:color w:val="000000"/>
          <w:sz w:val="36"/>
          <w:szCs w:val="36"/>
        </w:rPr>
        <w:t xml:space="preserve"> Е Ш Е Н И Е</w:t>
      </w:r>
    </w:p>
    <w:p w:rsidR="000A4356" w:rsidRDefault="000A4356" w:rsidP="000A4356">
      <w:pPr>
        <w:autoSpaceDE w:val="0"/>
        <w:autoSpaceDN w:val="0"/>
        <w:adjustRightInd w:val="0"/>
        <w:spacing w:after="0" w:line="240" w:lineRule="auto"/>
        <w:ind w:left="261"/>
        <w:jc w:val="center"/>
        <w:rPr>
          <w:rFonts w:ascii="Times New Roman" w:hAnsi="Times New Roman" w:cs="Times New Roman"/>
          <w:color w:val="000000"/>
          <w:sz w:val="36"/>
          <w:szCs w:val="36"/>
        </w:rPr>
      </w:pPr>
    </w:p>
    <w:p w:rsidR="000A4356" w:rsidRDefault="000A4356" w:rsidP="000A4356">
      <w:pPr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 w:firstLine="9"/>
        <w:jc w:val="center"/>
        <w:rPr>
          <w:rFonts w:ascii="Times New Roman" w:hAnsi="Times New Roman" w:cs="Times New Roman"/>
          <w:color w:val="800000"/>
          <w:sz w:val="26"/>
          <w:szCs w:val="26"/>
        </w:rPr>
      </w:pPr>
      <w:r>
        <w:rPr>
          <w:rFonts w:ascii="Times New Roman" w:hAnsi="Times New Roman" w:cs="Times New Roman"/>
          <w:color w:val="800000"/>
          <w:sz w:val="26"/>
          <w:szCs w:val="26"/>
        </w:rPr>
        <w:t>О бюджете Великого Новгорода на 2026 год и на плановый период 2027 и 2028 годов</w:t>
      </w:r>
    </w:p>
    <w:p w:rsidR="000A4356" w:rsidRDefault="000A4356" w:rsidP="000A4356">
      <w:pPr>
        <w:autoSpaceDE w:val="0"/>
        <w:autoSpaceDN w:val="0"/>
        <w:adjustRightInd w:val="0"/>
        <w:spacing w:after="0" w:line="240" w:lineRule="auto"/>
        <w:ind w:left="261"/>
        <w:rPr>
          <w:rFonts w:ascii="Times New Roman" w:hAnsi="Times New Roman" w:cs="Times New Roman"/>
          <w:color w:val="800000"/>
          <w:sz w:val="26"/>
          <w:szCs w:val="26"/>
        </w:rPr>
      </w:pP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В соответствии с Бюджетным кодексом Российской Федерации, Уставом муниципального образования - городского округа Великий Новгород, Положением о бюджетном процессе в Великом Новгороде, утвержденным решением Думы Великого Новгорода от 01.11.2007 N 688, Дума Великого Новгорода решила: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1. Утвердить основные характеристики бюджета Великого Новгорода на 2026 год: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прогнозируемый общий объем доходов бюджета Великого Новгорода в сумме 9703991,88939 тыс. рублей;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общий объем расходов бюджета Великого Новгорода в сумме 10083991,88939 тыс. рублей;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прогнозируемый дефицит бюджета Великого Новгорода в сумме  380000,00000 тыс. рублей.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2. Утвердить основные характеристики бюджета Великого Новгорода на 2027 год и на 2028 год: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прогнозируемый общий объем доходов бюджета Великого Новгорода на 2027 год в сумме  9236977,71527 тыс. рублей и на 2028 год в сумме  9431356,42691 тыс. рублей;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общий объем расходов бюджета Великого Новгорода на 2027 год в сумме 9592126,81527 тыс. рублей, в том числе условно утвержденные расходы в сумме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329551,200000</w:t>
      </w:r>
      <w:r w:rsidRPr="000A435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/>
          <w:sz w:val="26"/>
          <w:szCs w:val="26"/>
        </w:rPr>
        <w:t>тыс. рублей, и на 2028 год в сумме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9567656,42691</w:t>
      </w:r>
      <w:r w:rsidRPr="000A435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/>
          <w:sz w:val="26"/>
          <w:szCs w:val="26"/>
        </w:rPr>
        <w:t>тыс. рублей, в том числе условно утвержденные расходы в сумме 547445,600000  тыс. рублей;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прогнозируемый дефицит бюджета Великого Новгорода на 2027 год в сумме 355149,10000 тыс. рублей и на 2028 год в сумме 136300,00000  тыс. рублей.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lastRenderedPageBreak/>
        <w:t>3. Утвердить прогнозируемые поступления доходов в бюджет Великого Новгорода на 2026 год и на плановый период 2027 и 2028 годов согласно приложению 1 к настоящему решению.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4. Утвердить источники внутреннего финансирования дефицита бюджета Великого Новгорода на 2026 год и на плановый период 2027 и 2028 годов согласно приложению 2 к настоящему решению.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5. </w:t>
      </w:r>
      <w:proofErr w:type="gramStart"/>
      <w:r>
        <w:rPr>
          <w:rFonts w:ascii="Times New Roman" w:hAnsi="Times New Roman" w:cs="Times New Roman"/>
          <w:color w:val="000000"/>
          <w:sz w:val="26"/>
          <w:szCs w:val="26"/>
        </w:rPr>
        <w:t>Установить, что остатки средств бюджета Великого Новгорода по состоянию на 1 января 2026 года, за исключением остатков неиспользованных средств дорожного фонда муниципального образования - городского округа Великий Новгород, межбюджетных трансфертов, полученных из других бюджетов бюджетной системы Российской Федерации в форме субсидий, субвенций и иных межбюджетных трансфертов, имеющих целевое назначение, а также утвержденного в составе источников внутреннего финансирования дефицита бюджета Великого Новгорода</w:t>
      </w:r>
      <w:proofErr w:type="gramEnd"/>
      <w:r>
        <w:rPr>
          <w:rFonts w:ascii="Times New Roman" w:hAnsi="Times New Roman" w:cs="Times New Roman"/>
          <w:color w:val="000000"/>
          <w:sz w:val="26"/>
          <w:szCs w:val="26"/>
        </w:rPr>
        <w:t xml:space="preserve"> снижения остатков средств на счете по учету средств бюджета Великого Новгорода, могут в полном объеме направляться на покрытие временных кассовых разрывов. 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6. </w:t>
      </w:r>
      <w:proofErr w:type="gramStart"/>
      <w:r>
        <w:rPr>
          <w:rFonts w:ascii="Times New Roman" w:hAnsi="Times New Roman" w:cs="Times New Roman"/>
          <w:color w:val="000000"/>
          <w:sz w:val="26"/>
          <w:szCs w:val="26"/>
        </w:rPr>
        <w:t>Установить, что доходы от федеральных налогов и сборов, в том числе налогов, предусмотренных специальными налоговыми режимами, региональных и местных налогов и сборов, неналоговые доходы, поступающие от плательщиков на территории Великого Новгорода, подлежат зачислению в бюджет Великого Новгорода по нормативам, установленным Бюджетным кодексом Российской Федерации, областным законом "О межбюджетных отношениях в Новгородской области" и областным законом "Об областном бюджете на 2026</w:t>
      </w:r>
      <w:proofErr w:type="gramEnd"/>
      <w:r>
        <w:rPr>
          <w:rFonts w:ascii="Times New Roman" w:hAnsi="Times New Roman" w:cs="Times New Roman"/>
          <w:color w:val="000000"/>
          <w:sz w:val="26"/>
          <w:szCs w:val="26"/>
        </w:rPr>
        <w:t xml:space="preserve"> год и на плановый период 2027 и 2028 годов".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Установить следующие нормативы отчислений налогов, сборов и неналоговых платежей в бюджет Великого Новгорода на 2026 год и на плановый период 2027 и 2028 годов, не установленные бюджетным законодательством Российской Федерации и Новгородской области: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налог на рекламу, мобилизуемый на территориях городских округов, - 100 процентов;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lastRenderedPageBreak/>
        <w:t>целевые сборы с граждан и предприятий, учреждений, организаций на содержание милиции, на благоустройство территорий, на нужды образования и другие цели, мобилизуемые на территориях городских округов, - 100 процентов;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прочие местные налоги и сборы, мобилизуемые на территориях городских округов, - 100 процентов;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прочие доходы от оказания платных услуг (работ) получателями средств бюджетов городских округов - 100 процентов;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прочие доходы от компенсации затрат бюджетов городских округов - 100 процентов;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доходы, поступающие в порядке возмещения расходов, понесенных в связи с эксплуатацией имущества городских округов, - 100 процентов;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платежи, уплачиваемые в целях возмещения вреда, причиняемого автомобильным дорогам местного значения транспортными средствами, осуществляющими перевозки тяжеловесных и (или) крупногабаритных грузов, - 100 процентов;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proofErr w:type="gramStart"/>
      <w:r>
        <w:rPr>
          <w:rFonts w:ascii="Times New Roman" w:hAnsi="Times New Roman" w:cs="Times New Roman"/>
          <w:color w:val="000000"/>
          <w:sz w:val="26"/>
          <w:szCs w:val="26"/>
        </w:rPr>
        <w:t>платежи в целях возмещения убытков, причиненных уклонением от заключения с муниципальным органом городского округа (муниципальным казенным учреждением) муниципального контракта, а также иные денежные средства, подлежащие зачислению в бюджет городского округа за нарушение законодательства Российской Федерации о контрактной системе в сфере закупок товаров, работ, услуг для обеспечения государственных и муниципальных нужд (за исключением муниципального контракта, финансируемого за счет средств муниципального дорожного</w:t>
      </w:r>
      <w:proofErr w:type="gramEnd"/>
      <w:r>
        <w:rPr>
          <w:rFonts w:ascii="Times New Roman" w:hAnsi="Times New Roman" w:cs="Times New Roman"/>
          <w:color w:val="000000"/>
          <w:sz w:val="26"/>
          <w:szCs w:val="26"/>
        </w:rPr>
        <w:t xml:space="preserve"> фонда), - 100 процентов;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proofErr w:type="gramStart"/>
      <w:r>
        <w:rPr>
          <w:rFonts w:ascii="Times New Roman" w:hAnsi="Times New Roman" w:cs="Times New Roman"/>
          <w:color w:val="000000"/>
          <w:sz w:val="26"/>
          <w:szCs w:val="26"/>
        </w:rPr>
        <w:t>платежи в целях возмещения убытков, причиненных уклонением от заключения с муниципальным органом городского округа (муниципальным казенным учреждением) муниципального контракта, финансируемого за счет средств муниципального дорожного фонда, а также иные денежные средства, подлежащие зачислению в бюджет городского округа за нарушение законодательства Российской Федерации о контрактной системе в сфере закупок товаров, работ, услуг для обеспечения государственных и муниципальных нужд, - 100 процентов;</w:t>
      </w:r>
      <w:proofErr w:type="gramEnd"/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lastRenderedPageBreak/>
        <w:t>денежные взыскания, налагаемые в возмещение ущерба, причиненного в результате незаконного или нецелевого использования бюджетных средств (в части бюджетов городских округов), - 100 процентов;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невыясненные поступления, зачисляемые в бюджеты городских округов, -               100 процентов;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инициативные платежи, зачисляемые в бюджеты городских округов, - 100 процентов;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прочие неналоговые доходы бюджетов городских округов - 100 процентов.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7. </w:t>
      </w:r>
      <w:proofErr w:type="gramStart"/>
      <w:r>
        <w:rPr>
          <w:rFonts w:ascii="Times New Roman" w:hAnsi="Times New Roman" w:cs="Times New Roman"/>
          <w:color w:val="000000"/>
          <w:sz w:val="26"/>
          <w:szCs w:val="26"/>
        </w:rPr>
        <w:t>Утвердить объем субсидии, предоставляемой бюджету Новгородского муниципального района на исполнение расходных обязательств на мероприятия по обеспечению инженерно-транспортной инфраструктурой земельных участков, предоставляемых для индивидуального жилищного строительства гражданам льготных категорий, на 2026 год в сумме 27600,00000 тыс. рублей, на 2027 год в сумме 25150,00000 тыс. рублей, на 2028 год в сумме 30050,00000 тыс. рублей.</w:t>
      </w:r>
      <w:proofErr w:type="gramEnd"/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8. Утвердить объем межбюджетных трансфертов, получаемых из других бюджетов бюджетной системы Российской Федерации, на 2026 год в сумме 4978582,28939 тыс. рублей, на 2027 год в сумме 4187315,81527 тыс. рублей, на 2028 год в сумме 3827887,42691 тыс. рублей.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9. Утвердить общий объем бюджетных ассигнований, направляемых на исполнение публичных нормативных обязательств, на 2026 год в сумме 178936,500000 тыс. рублей, на 2027 год в сумме 181816,100000 тыс. рублей, на 2028 год в сумме 183380,700000 тыс. рублей.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10. Утвердить объем бюджетных ассигнований дорожного фонда муниципального образования - городского округа Великий Новгород на 2026 год в сумме 1253835,800000 тыс. рублей, на 2027 год в сумме 216887,700000 тыс. рублей, на 2028 год в сумме 216887,700000  тыс. рублей.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11. Установить размер резервного фонда Администрации Великого Новгорода на 2026 год в сумме 15000,00000 тыс. рублей, на 2027 год в сумме 15000,00000 тыс. рублей, на 2028 год в сумме 15000,00000 тыс. рублей.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12. Утвердить Ведомственную структуру расходов бюджета Великого Новгорода: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lastRenderedPageBreak/>
        <w:t>на 2026 год согласно приложению 3 к настоящему решению;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на плановый период 2027 и 2028 годов согласно приложению 4 к настоящему решению.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13. Утвердить распределение бюджетных ассигнований по разделам, подразделам, целевым статьям (муниципальным программам и непрограммным направлениям деятельности), группам и подгруппам </w:t>
      </w:r>
      <w:proofErr w:type="gramStart"/>
      <w:r>
        <w:rPr>
          <w:rFonts w:ascii="Times New Roman" w:hAnsi="Times New Roman" w:cs="Times New Roman"/>
          <w:color w:val="000000"/>
          <w:sz w:val="26"/>
          <w:szCs w:val="26"/>
        </w:rPr>
        <w:t>видов расходов классификации расходов бюджета Великого Новгорода</w:t>
      </w:r>
      <w:proofErr w:type="gramEnd"/>
      <w:r>
        <w:rPr>
          <w:rFonts w:ascii="Times New Roman" w:hAnsi="Times New Roman" w:cs="Times New Roman"/>
          <w:color w:val="000000"/>
          <w:sz w:val="26"/>
          <w:szCs w:val="26"/>
        </w:rPr>
        <w:t xml:space="preserve"> на 2026 год и на плановый период 2027 и 2028 годов согласно приложению 5 к настоящему решению.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14. Утвердить распределение бюджетных ассигнований по целевым статьям (муниципальным программам и непрограммным направлениям деятельности), группам и подгруппам </w:t>
      </w:r>
      <w:proofErr w:type="gramStart"/>
      <w:r>
        <w:rPr>
          <w:rFonts w:ascii="Times New Roman" w:hAnsi="Times New Roman" w:cs="Times New Roman"/>
          <w:color w:val="000000"/>
          <w:sz w:val="26"/>
          <w:szCs w:val="26"/>
        </w:rPr>
        <w:t>видов расходов классификации расходов бюджета Великого Новгорода</w:t>
      </w:r>
      <w:proofErr w:type="gramEnd"/>
      <w:r>
        <w:rPr>
          <w:rFonts w:ascii="Times New Roman" w:hAnsi="Times New Roman" w:cs="Times New Roman"/>
          <w:color w:val="000000"/>
          <w:sz w:val="26"/>
          <w:szCs w:val="26"/>
        </w:rPr>
        <w:t xml:space="preserve"> на 2026 год и на плановый период 2027 и 2028 годов согласно приложению 6 к настоящему решению.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15. </w:t>
      </w:r>
      <w:proofErr w:type="gramStart"/>
      <w:r>
        <w:rPr>
          <w:rFonts w:ascii="Times New Roman" w:hAnsi="Times New Roman" w:cs="Times New Roman"/>
          <w:color w:val="000000"/>
          <w:sz w:val="26"/>
          <w:szCs w:val="26"/>
        </w:rPr>
        <w:t>Установить, что субсидии юридическим лицам (за исключением субсидий государственным (муниципальным) учреждениям), индивидуальным предпринимателям, а также физическим лицам - производителям товаров, работ, услуг предоставляются в порядке, установленном постановлением Администрации Великого Новгорода, на:</w:t>
      </w:r>
      <w:proofErr w:type="gramEnd"/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финансовое обеспечение затрат </w:t>
      </w:r>
      <w:proofErr w:type="gramStart"/>
      <w:r>
        <w:rPr>
          <w:rFonts w:ascii="Times New Roman" w:hAnsi="Times New Roman" w:cs="Times New Roman"/>
          <w:color w:val="000000"/>
          <w:sz w:val="26"/>
          <w:szCs w:val="26"/>
        </w:rPr>
        <w:t>по капитальному ремонту общего имущества в многоквартирных домах в соответствии с Жилищным кодексом Российской Федерации в рамках</w:t>
      </w:r>
      <w:proofErr w:type="gramEnd"/>
      <w:r>
        <w:rPr>
          <w:rFonts w:ascii="Times New Roman" w:hAnsi="Times New Roman" w:cs="Times New Roman"/>
          <w:color w:val="000000"/>
          <w:sz w:val="26"/>
          <w:szCs w:val="26"/>
        </w:rPr>
        <w:t xml:space="preserve"> муниципальной программы Великого Новгорода "Формирование комфортной городской среды и модернизация системы коммунального хозяйства Великого Новгорода";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proofErr w:type="gramStart"/>
      <w:r>
        <w:rPr>
          <w:rFonts w:ascii="Times New Roman" w:hAnsi="Times New Roman" w:cs="Times New Roman"/>
          <w:color w:val="000000"/>
          <w:sz w:val="26"/>
          <w:szCs w:val="26"/>
        </w:rPr>
        <w:t>возмещение затрат, связанных с выполнением работ, организацией, содержанием и развитием объектов социально значимого и вспомогательного назначений и (или) на возмещение затрат, связанных с выполнением работ, организацией, содержанием и развитием муниципального жилищно-коммунального хозяйства в сфере водоснабжения и водоотведения в рамках муниципальной программы Великого Новгорода "Защита населения и территорий от чрезвычайных ситуаций, обеспечение пожарной безопасности и безопасности людей на водных объектах на</w:t>
      </w:r>
      <w:proofErr w:type="gramEnd"/>
      <w:r>
        <w:rPr>
          <w:rFonts w:ascii="Times New Roman" w:hAnsi="Times New Roman" w:cs="Times New Roman"/>
          <w:color w:val="000000"/>
          <w:sz w:val="26"/>
          <w:szCs w:val="26"/>
        </w:rPr>
        <w:t xml:space="preserve"> территории Великого Новгорода";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lastRenderedPageBreak/>
        <w:t>возмещение недополученных доходов транспортным организациям в связи с предоставлением права проезда отдельным категориям граждан, имеющим право на бесплатный проезд или на приобретение льготного проездного билета в рамках муниципальной программы Великого Новгорода "Развитие образования Великого Новгорода";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возмещение недополученных доходов организациям, оказывающим  услуги бань в общих отделениях без бассейна и душевых отделениях на территории муниципального образования - городского округа Великий Новгород, в связи с предоставлением услуг по помывке отдельным категориям граждан;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финансовое обеспечение затрат на проведение капитального ремонта и (или) замену лифтов в многоквартирных домах Великого Новгорода в рамках муниципальной программы Великого Новгорода "Формирование комфортной городской среды и модернизация системы коммунального хозяйства Великого Новгорода";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финансовое обеспечение затрат по реализации проектов территориальных общественных самоуправлений в рамках муниципальной программы Великого Новгорода "Развитие системы местного самоуправления и институтов гражданского общества на территории Великого Новгорода".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16. Установить, что субсидии некоммерческим организациям, не являющимся государственными (муниципальными) учреждениями, предоставляются в порядке, установленном постановлением Администрации Великого Новгорода, </w:t>
      </w:r>
      <w:proofErr w:type="gramStart"/>
      <w:r>
        <w:rPr>
          <w:rFonts w:ascii="Times New Roman" w:hAnsi="Times New Roman" w:cs="Times New Roman"/>
          <w:color w:val="000000"/>
          <w:sz w:val="26"/>
          <w:szCs w:val="26"/>
        </w:rPr>
        <w:t>на</w:t>
      </w:r>
      <w:proofErr w:type="gramEnd"/>
      <w:r>
        <w:rPr>
          <w:rFonts w:ascii="Times New Roman" w:hAnsi="Times New Roman" w:cs="Times New Roman"/>
          <w:color w:val="000000"/>
          <w:sz w:val="26"/>
          <w:szCs w:val="26"/>
        </w:rPr>
        <w:t>: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реализацию социально значимых программ (проектов) по видам деятельности в соответствии с пунктом 1 статьи 31.1 Федерального закона от 12 января 1996 г. N 7-ФЗ "О некоммерческих организациях" социально ориентированными некоммерческими организациями в рамках муниципальной программы Великого Новгорода "Развитие системы местного самоуправления и институтов гражданского общества на территории Великого Новгорода";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bookmarkStart w:id="0" w:name="_GoBack"/>
      <w:bookmarkEnd w:id="0"/>
      <w:r>
        <w:rPr>
          <w:rFonts w:ascii="Times New Roman" w:hAnsi="Times New Roman" w:cs="Times New Roman"/>
          <w:color w:val="000000"/>
          <w:sz w:val="26"/>
          <w:szCs w:val="26"/>
        </w:rPr>
        <w:t xml:space="preserve">финансовое обеспечение затрат по капитальному ремонту общего имущества в многоквартирных домах в соответствии с Жилищным кодексом Российской Федерации в рамках муниципальной программы Великого Новгорода </w:t>
      </w:r>
      <w:r>
        <w:rPr>
          <w:rFonts w:ascii="Times New Roman" w:hAnsi="Times New Roman" w:cs="Times New Roman"/>
          <w:color w:val="000000"/>
          <w:sz w:val="26"/>
          <w:szCs w:val="26"/>
        </w:rPr>
        <w:lastRenderedPageBreak/>
        <w:t>"Формирование комфортной городской среды и модернизация системы коммунального хозяйства Великого Новгорода";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финансовое возмещение затрат юридическим лицам и индивидуальным предпринимателям, реализующим образовательные программы дошкольного, начального общего, основного общего и среднего общего образования, затрат на оплату труда, приобретение учебников и учебных пособий, средств обучения, игр, игрушек в рамках муниципальной программы Великого Новгорода "Развитие образования Великого Новгорода";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финансовое обеспечение затрат по реализации проектов территориальных общественных самоуправлений в рамках муниципальной программы Великого Новгорода "Развитие системы местного самоуправления и институтов гражданского общества на территории Великого Новгорода";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финансовое обеспечение затрат на благоустройство территорий общего пользования, расположенных в исторической зоне Великого Новгорода, в рамках муниципальной программы Великого Новгорода "Формирование комфортной городской среды и модернизация системы коммунального хозяйства Великого Новгорода".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17. Установить на 2026 - 2028 годы размер единовременной компенсационной выплаты на лечение (оздоровление) лицам, замещающим муниципальные должности и должности муниципальной службы в органах местного самоуправления Великого Новгорода, в сумме 40100,00000 рублей.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18. Установить, что финансовое обеспечение образовательной деятельности муниципальных образовательных организаций осуществляется на основе областных нормативов финансирования организаций, утвержденных областным законом "Об областном бюджете на 2026 год и на плановый период 2027 и 2028 годов", и муниципальных нормативов финансового обеспечения образовательной деятельности, утверждаемых настоящим решением.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19. Утвердить муниципальные нормативы финансового обеспечения образовательной деятельности: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на 2026 год согласно приложению 7 к настоящему решению;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на плановый период 2027 и 2028 годов согласно приложению 8 к настоящему решению.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lastRenderedPageBreak/>
        <w:t xml:space="preserve">20. </w:t>
      </w:r>
      <w:proofErr w:type="gramStart"/>
      <w:r>
        <w:rPr>
          <w:rFonts w:ascii="Times New Roman" w:hAnsi="Times New Roman" w:cs="Times New Roman"/>
          <w:color w:val="000000"/>
          <w:sz w:val="26"/>
          <w:szCs w:val="26"/>
        </w:rPr>
        <w:t>Установить верхний предел муниципального долга Великого Новгорода на 1 января 2027 года в сумме 2700000,00000 тыс. рублей, на 1 января 2028 года в сумме 3000000,00000 тыс. рублей, на 1 января 2029 года в сумме 3100000,00000 тыс. рублей, в том числе верхний предел муниципального долга Великого Новгорода по муниципальным гарантиям на 1 января 2027 года в сумме 0,00000 тыс. рублей, на</w:t>
      </w:r>
      <w:proofErr w:type="gramEnd"/>
      <w:r>
        <w:rPr>
          <w:rFonts w:ascii="Times New Roman" w:hAnsi="Times New Roman" w:cs="Times New Roman"/>
          <w:color w:val="000000"/>
          <w:sz w:val="26"/>
          <w:szCs w:val="26"/>
        </w:rPr>
        <w:t xml:space="preserve"> 1 января 2028 года в сумме 0,00000 тыс. рублей, на 1 января 2029 года в сумме 0,00000 тыс. рублей.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Установить, что в 2026 - 2028 годах муниципальные гарантии не предоставляются.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21. Утвердить Программу внутренних заимствований Великого Новгорода на 2026 год и на плановый период 2027 и 2028 годов согласно приложению 9 к настоящему решению.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22. Установить, что в соответствии с подпунктом 1 пункта 1 статьи 242.26 Бюджетного кодекса Российской Федерации казначейскому сопровождению подлежат следующие средства, получаемые на основании муниципальных контрактов, договоров (соглашений), контрактов (договоров), заключаемых в 2026 году, источником финансового </w:t>
      </w:r>
      <w:proofErr w:type="gramStart"/>
      <w:r>
        <w:rPr>
          <w:rFonts w:ascii="Times New Roman" w:hAnsi="Times New Roman" w:cs="Times New Roman"/>
          <w:color w:val="000000"/>
          <w:sz w:val="26"/>
          <w:szCs w:val="26"/>
        </w:rPr>
        <w:t>обеспечения</w:t>
      </w:r>
      <w:proofErr w:type="gramEnd"/>
      <w:r>
        <w:rPr>
          <w:rFonts w:ascii="Times New Roman" w:hAnsi="Times New Roman" w:cs="Times New Roman"/>
          <w:color w:val="000000"/>
          <w:sz w:val="26"/>
          <w:szCs w:val="26"/>
        </w:rPr>
        <w:t xml:space="preserve"> исполнения которых являются предоставляемые из бюджета Великого Новгорода средства: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авансовые платежи по муниципальным контрактам, договорам (соглашениям), контрактам (договорам) о поставке товаров, выполнении работ, оказании услуг, заключаемым получателями средств бюджета Великого Новгорода, муниципальными бюджетными и автономными учреждениями на сумму 50000,00000 тыс. рублей и более, предметом которых является строительство (реконструкция) и капитальный ремонт объектов муниципальной собственности;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авансовые платежи по муниципальным контрактам, договорам (соглашениям), контрактам (договорам) о поставке товаров, выполнении работ, оказании услуг, заключаемым получателями средств бюджета Великого Новгорода, муниципальными бюджетными и автономными учреждениями на сумму 50000,00000 тыс. рублей и более, предметом которых является сохранение объектов культурного наследия, находящихся в муниципальной собственности;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авансовые платежи по контрактам (договорам) о поставке товаров, выполнении работ, оказании услуг, заключаемым исполнителями и соисполнителями в рамках </w:t>
      </w:r>
      <w:r>
        <w:rPr>
          <w:rFonts w:ascii="Times New Roman" w:hAnsi="Times New Roman" w:cs="Times New Roman"/>
          <w:color w:val="000000"/>
          <w:sz w:val="26"/>
          <w:szCs w:val="26"/>
        </w:rPr>
        <w:lastRenderedPageBreak/>
        <w:t>исполнения муниципальных контрактов, договоров (соглашений), контрактов (договоров), предусмотренных абзацами вторым и третьим настоящего пункта;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субсидии юридическим лицам, индивидуальным предпринимателям, являющимся стороной концессионных соглашений;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бюджетные инвестиции, предоставляемые юридическим лицам по договорам (соглашениям) о предоставлении бюджетных инвестиций в соответствии со статьей 79 Бюджетного Кодекса Российской Федерации;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авансовые платежи по контрактам (договорам) о поставке товаров, выполнении работ, оказании услуг, заключаемым получателями бюджетных инвестиций, указанных в абзаце шестом настоящего  пункта.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proofErr w:type="gramStart"/>
      <w:r>
        <w:rPr>
          <w:rFonts w:ascii="Times New Roman" w:hAnsi="Times New Roman" w:cs="Times New Roman"/>
          <w:color w:val="000000"/>
          <w:sz w:val="26"/>
          <w:szCs w:val="26"/>
        </w:rPr>
        <w:t>Положения настоящего пункта не распространяются на средства, предоставляемые на основании муниципальных контрактов (договоров, соглашений), указанных в статье 242.27 Бюджетного кодекса Российской Федерации, и реализуются в части, не противоречащей положениям федеральных законов, решений Правительства Российской Федерации, принятых в соответствии с подпунктом 2 пункта 1 статьи 242.26 Бюджетного кодекса Российской Федерации.</w:t>
      </w:r>
      <w:proofErr w:type="gramEnd"/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23. Настоящее решение вступает в силу с 1 января 2026 года.</w:t>
      </w:r>
    </w:p>
    <w:p w:rsidR="000A4356" w:rsidRDefault="000A4356" w:rsidP="000A4356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24. Опубликовать настоящее решение в газете "Новгород".</w:t>
      </w:r>
    </w:p>
    <w:p w:rsidR="000A4356" w:rsidRDefault="000A4356" w:rsidP="000A4356">
      <w:pPr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0A4356" w:rsidRDefault="000A4356" w:rsidP="000A4356">
      <w:pPr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0A4356" w:rsidRDefault="000A4356" w:rsidP="000A4356">
      <w:pPr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jc w:val="both"/>
        <w:rPr>
          <w:rFonts w:ascii="Times New Roman" w:hAnsi="Times New Roman" w:cs="Times New Roman"/>
          <w:color w:val="000080"/>
          <w:sz w:val="26"/>
          <w:szCs w:val="26"/>
        </w:rPr>
      </w:pPr>
      <w:r>
        <w:rPr>
          <w:rFonts w:ascii="Times New Roman" w:hAnsi="Times New Roman" w:cs="Times New Roman"/>
          <w:color w:val="000080"/>
          <w:sz w:val="26"/>
          <w:szCs w:val="26"/>
        </w:rPr>
        <w:t>Проект подготовил и завизировал:</w:t>
      </w:r>
    </w:p>
    <w:tbl>
      <w:tblPr>
        <w:tblW w:w="0" w:type="auto"/>
        <w:tblInd w:w="261" w:type="dxa"/>
        <w:tblLayout w:type="fixed"/>
        <w:tblCellMar>
          <w:left w:w="0" w:type="dxa"/>
          <w:right w:w="0" w:type="dxa"/>
        </w:tblCellMar>
        <w:tblLook w:val="00BF" w:firstRow="1" w:lastRow="0" w:firstColumn="1" w:lastColumn="0" w:noHBand="0" w:noVBand="0"/>
      </w:tblPr>
      <w:tblGrid>
        <w:gridCol w:w="5750"/>
        <w:gridCol w:w="3619"/>
      </w:tblGrid>
      <w:tr w:rsidR="000A4356">
        <w:tc>
          <w:tcPr>
            <w:tcW w:w="5750" w:type="dxa"/>
          </w:tcPr>
          <w:p w:rsidR="000A4356" w:rsidRDefault="000A4356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57" w:right="58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Председатель комитета финансов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br/>
              <w:t>Администрации Великого Новгорода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br/>
            </w:r>
          </w:p>
        </w:tc>
        <w:tc>
          <w:tcPr>
            <w:tcW w:w="3619" w:type="dxa"/>
          </w:tcPr>
          <w:p w:rsidR="000A4356" w:rsidRDefault="000A4356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832" w:right="4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Е.А.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Медеева</w:t>
            </w:r>
            <w:proofErr w:type="spellEnd"/>
          </w:p>
        </w:tc>
      </w:tr>
    </w:tbl>
    <w:p w:rsidR="00435086" w:rsidRDefault="00435086"/>
    <w:sectPr w:rsidR="004350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356"/>
    <w:rsid w:val="000A4356"/>
    <w:rsid w:val="00435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2474</Words>
  <Characters>14105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Шемягина Ольга Анатольевна</dc:creator>
  <cp:lastModifiedBy>Шемягина Ольга Анатольевна</cp:lastModifiedBy>
  <cp:revision>2</cp:revision>
  <cp:lastPrinted>2025-11-12T11:17:00Z</cp:lastPrinted>
  <dcterms:created xsi:type="dcterms:W3CDTF">2025-11-12T11:14:00Z</dcterms:created>
  <dcterms:modified xsi:type="dcterms:W3CDTF">2025-11-12T11:19:00Z</dcterms:modified>
</cp:coreProperties>
</file>