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b/>
          <w:sz w:val="26"/>
          <w:szCs w:val="26"/>
        </w:rPr>
        <w:t>Сравнительная таблица к проекту  решения Думы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  <w:t xml:space="preserve">«О внесении изменений в Положение о муниципальном контроле в сфере благоустройства на территории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  <w:t xml:space="preserve">муниципального образования - </w:t>
      </w:r>
    </w:p>
    <w:p>
      <w:pPr>
        <w:pStyle w:val="Normal"/>
        <w:spacing w:lineRule="auto" w:line="240" w:before="0" w:after="86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  <w:t>городского округа Великий Новгород»</w:t>
      </w:r>
    </w:p>
    <w:tbl>
      <w:tblPr>
        <w:tblW w:w="15300" w:type="dxa"/>
        <w:jc w:val="left"/>
        <w:tblInd w:w="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995"/>
        <w:gridCol w:w="10304"/>
      </w:tblGrid>
      <w:tr>
        <w:trPr>
          <w:trHeight w:val="510" w:hRule="atLeast"/>
        </w:trPr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Действующая редакция</w:t>
            </w:r>
          </w:p>
        </w:tc>
        <w:tc>
          <w:tcPr>
            <w:tcW w:w="10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jc w:val="center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  <w:t>Проект</w:t>
            </w:r>
          </w:p>
        </w:tc>
      </w:tr>
      <w:tr>
        <w:trPr>
          <w:trHeight w:val="1155" w:hRule="atLeast"/>
        </w:trPr>
        <w:tc>
          <w:tcPr>
            <w:tcW w:w="4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ind w:firstLine="54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Cs/>
                <w:sz w:val="26"/>
                <w:szCs w:val="26"/>
              </w:rPr>
              <w:t>Наличие признаков, свидетельствующих о нарушении целостности и (или) неисправном состоянии фасадов (элементов фасадов) и ограждающих конструкций зданий, строений, сооружений.</w:t>
            </w:r>
          </w:p>
          <w:p>
            <w:pPr>
              <w:pStyle w:val="Normal"/>
              <w:widowControl w:val="false"/>
              <w:spacing w:lineRule="auto" w:line="240" w:before="0" w:after="200"/>
              <w:jc w:val="both"/>
              <w:rPr>
                <w:rFonts w:ascii="Times New Roman" w:hAnsi="Times New Roman" w:cs="Times New Roman"/>
                <w:b/>
                <w:b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/>
                <w:sz w:val="26"/>
                <w:szCs w:val="26"/>
              </w:rPr>
            </w:r>
          </w:p>
        </w:tc>
        <w:tc>
          <w:tcPr>
            <w:tcW w:w="10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160" w:after="0"/>
              <w:ind w:left="0" w:right="0" w:firstLine="540"/>
              <w:jc w:val="both"/>
              <w:rPr>
                <w:rFonts w:ascii="Times New Roman" w:hAnsi="Times New Roman" w:cs="Times New Roman"/>
                <w:b w:val="false"/>
                <w:b w:val="false"/>
                <w:bCs w:val="false"/>
                <w:i w:val="false"/>
                <w:i w:val="false"/>
                <w:iCs w:val="false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6"/>
                <w:szCs w:val="26"/>
              </w:rPr>
              <w:t>1. Наличие двух и более обращений, поступивших в отношении одного и того же объекта контроля в адрес органа муниципального контроля от граждан (поступивших способом, позволяющим установить личность обратившегося гражданина), организаций, информации от органов государственной власти, органов местного самоуправления, из средств массовой информации и иных источников о  загрязнении улиц и дорог, при условии, что согласно сведениям,  имеющимся в распоряжении органов местного самоуправления Великого Новгорода,  территория, прилегающая  к месту загрязнения, отведена под строительство (застройку).</w:t>
            </w:r>
          </w:p>
        </w:tc>
      </w:tr>
      <w:tr>
        <w:trPr>
          <w:trHeight w:val="1155" w:hRule="atLeast"/>
        </w:trPr>
        <w:tc>
          <w:tcPr>
            <w:tcW w:w="49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ind w:firstLine="54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Cs/>
                <w:sz w:val="26"/>
                <w:szCs w:val="26"/>
              </w:rPr>
            </w:r>
          </w:p>
        </w:tc>
        <w:tc>
          <w:tcPr>
            <w:tcW w:w="10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cs="Times New Roman"/>
                <w:b w:val="false"/>
                <w:b w:val="false"/>
                <w:bCs w:val="false"/>
                <w:i w:val="false"/>
                <w:i w:val="false"/>
                <w:iCs w:val="false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sz w:val="26"/>
                <w:szCs w:val="26"/>
                <w:u w:val="none"/>
              </w:rPr>
              <w:tab/>
              <w:t>2. Наличие трех и более обращений, поступивших в течение 3-х месяцев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sz w:val="26"/>
                <w:szCs w:val="26"/>
                <w:u w:val="none"/>
                <w:shd w:fill="auto" w:val="clear"/>
              </w:rPr>
              <w:t xml:space="preserve"> в отношении одного и того же объекта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sz w:val="26"/>
                <w:szCs w:val="26"/>
                <w:u w:val="none"/>
              </w:rPr>
              <w:t xml:space="preserve"> контроля в адрес органа муниципального контроля от граждан (поступивших способом, позволяющим установить личность обратившегося гражданина), организаций, информации от органов государственной власти, органов местного самоуправления, из средств массовой информации и иных источников о нарушении целостности и (или) неисправном состоянии фасадов (элементов фасадов) и ограждающих конструкций зданий, строений, сооружений.</w:t>
            </w:r>
          </w:p>
        </w:tc>
      </w:tr>
      <w:tr>
        <w:trPr>
          <w:trHeight w:val="1155" w:hRule="atLeast"/>
        </w:trPr>
        <w:tc>
          <w:tcPr>
            <w:tcW w:w="49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false"/>
              <w:spacing w:lineRule="auto" w:line="240" w:before="0" w:after="0"/>
              <w:ind w:firstLine="54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bCs/>
                <w:sz w:val="26"/>
                <w:szCs w:val="26"/>
              </w:rPr>
            </w:r>
          </w:p>
        </w:tc>
        <w:tc>
          <w:tcPr>
            <w:tcW w:w="10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200"/>
              <w:ind w:left="0" w:right="0" w:hanging="0"/>
              <w:contextualSpacing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bookmarkStart w:id="0" w:name="_GoBack"/>
            <w:bookmarkEnd w:id="0"/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sz w:val="26"/>
                <w:szCs w:val="26"/>
                <w:u w:val="none"/>
              </w:rPr>
              <w:t xml:space="preserve">       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6"/>
                <w:szCs w:val="26"/>
              </w:rPr>
              <w:t>3. Наличие трех и более обращений, поступивших в течение 3-х месяце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sz w:val="26"/>
                <w:szCs w:val="26"/>
              </w:rPr>
              <w:t>в в отношении одного и того же контролируемого лица в адр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6"/>
                <w:szCs w:val="26"/>
              </w:rPr>
              <w:t>ес органа муниципального контроля от граждан (поступивших способом, позволяющим у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6"/>
                <w:szCs w:val="26"/>
                <w:shd w:fill="auto" w:val="clear"/>
              </w:rPr>
              <w:t xml:space="preserve">становить личность обратившегося гражданина), организаций, информации от органов государственной власти, органов местного самоуправления, из средств массовой информации и иных источников о нарушении целостности (разрушении или повреждении) озелененных территорий, 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sz w:val="26"/>
                <w:szCs w:val="26"/>
                <w:shd w:fill="auto" w:val="clear"/>
              </w:rPr>
              <w:t>асфальтового или плиточного покрытия т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6"/>
                <w:szCs w:val="26"/>
                <w:shd w:fill="auto" w:val="clear"/>
              </w:rPr>
              <w:t>ротуаров, иных пешеходных коммуникаций и других элементов благоустройства, при условии, что согласно сведениям, представленным организацией, уполномоченной на выдачу разрешений на осуществление земляных работ, срок восстановления нарушенного благоустройства истек.</w:t>
            </w:r>
          </w:p>
        </w:tc>
      </w:tr>
    </w:tbl>
    <w:p>
      <w:pPr>
        <w:pStyle w:val="Normal"/>
        <w:spacing w:lineRule="auto" w:line="240" w:before="0" w:after="200"/>
        <w:rPr>
          <w:rFonts w:ascii="Times New Roman" w:hAnsi="Times New Roman" w:cs="Times New Roman"/>
          <w:sz w:val="20"/>
          <w:szCs w:val="20"/>
        </w:rPr>
      </w:pPr>
      <w:r>
        <w:rPr/>
      </w:r>
    </w:p>
    <w:sectPr>
      <w:type w:val="nextPage"/>
      <w:pgSz w:orient="landscape" w:w="16838" w:h="11906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2048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e36b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Интернет-ссылка"/>
    <w:basedOn w:val="DefaultParagraphFont"/>
    <w:uiPriority w:val="99"/>
    <w:unhideWhenUsed/>
    <w:rsid w:val="0044126e"/>
    <w:rPr>
      <w:color w:val="0000FF" w:themeColor="hyperlink"/>
      <w:u w:val="single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e31cfb"/>
    <w:pPr>
      <w:spacing w:before="0" w:after="200"/>
      <w:ind w:left="720" w:hanging="0"/>
      <w:contextualSpacing/>
    </w:pPr>
    <w:rPr/>
  </w:style>
  <w:style w:type="paragraph" w:styleId="ConsPlusNormal" w:customStyle="1">
    <w:name w:val="ConsPlus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Arial" w:cs="Courier New"/>
      <w:color w:val="auto"/>
      <w:kern w:val="0"/>
      <w:sz w:val="16"/>
      <w:szCs w:val="24"/>
      <w:lang w:val="ru-RU" w:eastAsia="en-US" w:bidi="ar-SA"/>
    </w:rPr>
  </w:style>
  <w:style w:type="paragraph" w:styleId="Style20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21" w:customStyle="1">
    <w:name w:val="Заголовок таблицы"/>
    <w:basedOn w:val="Style2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792</TotalTime>
  <Application>LibreOffice/7.0.4.2$Windows_X86_64 LibreOffice_project/dcf040e67528d9187c66b2379df5ea4407429775</Application>
  <AppVersion>15.0000</AppVersion>
  <Pages>1</Pages>
  <Words>274</Words>
  <Characters>2027</Characters>
  <CharactersWithSpaces>2306</CharactersWithSpaces>
  <Paragraphs>10</Paragraphs>
  <Company>КонсультантПлюс Версия 4023.00.09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2023-10-09T10:29:00Z</dcterms:created>
  <dc:creator>Ездакова Юлия Сергеевна</dc:creator>
  <dc:description/>
  <dc:language>ru-RU</dc:language>
  <cp:lastModifiedBy/>
  <cp:lastPrinted>2021-05-24T16:49:00Z</cp:lastPrinted>
  <dcterms:modified xsi:type="dcterms:W3CDTF">2025-07-28T16:45:05Z</dcterms:modified>
  <cp:revision>75</cp:revision>
  <dc:subject/>
  <dc:title>Решение Думы Великого Новгорода от 23.09.2021 N 602"Об утверждении Положения о муниципальном контроле в сфере благоустройства на территории муниципального образования - городского округа Великий Новгород"(принято Думой Великого Новгорода 23.09.2021)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