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tbl>
      <w:tblPr>
        <w:tblW w:w="14625" w:type="dxa"/>
        <w:jc w:val="left"/>
        <w:tblInd w:w="0" w:type="dxa"/>
        <w:tblLayout w:type="fixed"/>
        <w:tblCellMar>
          <w:top w:w="55" w:type="dxa"/>
          <w:left w:w="55" w:type="dxa"/>
          <w:bottom w:w="55" w:type="dxa"/>
          <w:right w:w="55" w:type="dxa"/>
        </w:tblCellMar>
      </w:tblPr>
      <w:tblGrid>
        <w:gridCol w:w="7284"/>
        <w:gridCol w:w="7340"/>
      </w:tblGrid>
      <w:tr>
        <w:trPr/>
        <w:tc>
          <w:tcPr>
            <w:tcW w:w="7284" w:type="dxa"/>
            <w:tcBorders>
              <w:top w:val="single" w:sz="2" w:space="0" w:color="000000"/>
              <w:left w:val="single" w:sz="2" w:space="0" w:color="000000"/>
              <w:bottom w:val="single" w:sz="2" w:space="0" w:color="000000"/>
            </w:tcBorders>
          </w:tcPr>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Утвержден</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решением</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Думы Великого Новгорода</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от 05.06.2002 N 355</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r>
          </w:p>
          <w:p>
            <w:pPr>
              <w:pStyle w:val="Normal"/>
              <w:widowControl w:val="false"/>
              <w:ind w:left="0" w:right="0" w:hanging="0"/>
              <w:jc w:val="both"/>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t>РЕГЛАМЕНТ</w:t>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t>ДУМЫ ВЕЛИКОГО НОВГОРОДА</w:t>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r>
          </w:p>
          <w:p>
            <w:pPr>
              <w:pStyle w:val="Normal"/>
              <w:widowControl w:val="false"/>
              <w:jc w:val="center"/>
              <w:rPr>
                <w:rFonts w:ascii="Arial" w:hAnsi="Arial"/>
                <w:i/>
                <w:i/>
                <w:iCs/>
                <w:sz w:val="21"/>
                <w:szCs w:val="21"/>
              </w:rPr>
            </w:pPr>
            <w:r>
              <w:rPr>
                <w:rFonts w:ascii="Arial" w:hAnsi="Arial"/>
                <w:i/>
                <w:iCs/>
                <w:sz w:val="21"/>
                <w:szCs w:val="21"/>
              </w:rPr>
              <w:t>действующая редакция</w:t>
            </w:r>
          </w:p>
        </w:tc>
        <w:tc>
          <w:tcPr>
            <w:tcW w:w="7340" w:type="dxa"/>
            <w:tcBorders>
              <w:top w:val="single" w:sz="2" w:space="0" w:color="000000"/>
              <w:left w:val="single" w:sz="2" w:space="0" w:color="000000"/>
              <w:bottom w:val="single" w:sz="2" w:space="0" w:color="000000"/>
              <w:right w:val="single" w:sz="2" w:space="0" w:color="000000"/>
            </w:tcBorders>
          </w:tcPr>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Утвержден</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решением</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Думы Великого Новгорода</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t>от 05.06.2002 N 355</w:t>
            </w:r>
          </w:p>
          <w:p>
            <w:pPr>
              <w:pStyle w:val="Normal"/>
              <w:widowControl w:val="false"/>
              <w:numPr>
                <w:ilvl w:val="0"/>
                <w:numId w:val="0"/>
              </w:numPr>
              <w:ind w:left="0" w:right="0" w:hanging="0"/>
              <w:jc w:val="right"/>
              <w:outlineLvl w:val="0"/>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r>
          </w:p>
          <w:p>
            <w:pPr>
              <w:pStyle w:val="Normal"/>
              <w:widowControl w:val="false"/>
              <w:ind w:left="0" w:right="0" w:hanging="0"/>
              <w:jc w:val="both"/>
              <w:rPr>
                <w:rFonts w:ascii="Arial" w:hAnsi="Arial"/>
                <w:b w:val="false"/>
                <w:b w:val="false"/>
                <w:i w:val="false"/>
                <w:i w:val="false"/>
                <w:strike w:val="false"/>
                <w:dstrike w:val="false"/>
                <w:sz w:val="20"/>
                <w:u w:val="none"/>
              </w:rPr>
            </w:pPr>
            <w:r>
              <w:rPr>
                <w:rFonts w:ascii="Arial" w:hAnsi="Arial"/>
                <w:b w:val="false"/>
                <w:i w:val="false"/>
                <w:strike w:val="false"/>
                <w:dstrike w:val="false"/>
                <w:sz w:val="20"/>
                <w:u w:val="none"/>
              </w:rPr>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t>РЕГЛАМЕНТ</w:t>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t>ДУМЫ ВЕЛИКОГО НОВГОРОДА</w:t>
            </w:r>
          </w:p>
          <w:p>
            <w:pPr>
              <w:pStyle w:val="Normal"/>
              <w:widowControl w:val="false"/>
              <w:numPr>
                <w:ilvl w:val="0"/>
                <w:numId w:val="0"/>
              </w:numPr>
              <w:ind w:left="0" w:right="0" w:hanging="0"/>
              <w:jc w:val="center"/>
              <w:outlineLvl w:val="0"/>
              <w:rPr>
                <w:rFonts w:ascii="Arial" w:hAnsi="Arial"/>
                <w:b/>
                <w:b/>
                <w:i w:val="false"/>
                <w:i w:val="false"/>
                <w:strike w:val="false"/>
                <w:dstrike w:val="false"/>
                <w:sz w:val="20"/>
                <w:u w:val="none"/>
              </w:rPr>
            </w:pPr>
            <w:r>
              <w:rPr>
                <w:rFonts w:ascii="Arial" w:hAnsi="Arial"/>
                <w:b/>
                <w:i w:val="false"/>
                <w:strike w:val="false"/>
                <w:dstrike w:val="false"/>
                <w:sz w:val="20"/>
                <w:u w:val="none"/>
              </w:rPr>
            </w:r>
          </w:p>
          <w:p>
            <w:pPr>
              <w:pStyle w:val="Normal"/>
              <w:widowControl w:val="false"/>
              <w:jc w:val="center"/>
              <w:rPr>
                <w:rFonts w:ascii="Arial" w:hAnsi="Arial"/>
                <w:i/>
                <w:i/>
                <w:iCs/>
                <w:sz w:val="21"/>
                <w:szCs w:val="21"/>
              </w:rPr>
            </w:pPr>
            <w:r>
              <w:rPr>
                <w:rFonts w:ascii="Arial" w:hAnsi="Arial"/>
                <w:i/>
                <w:iCs/>
                <w:sz w:val="21"/>
                <w:szCs w:val="21"/>
              </w:rPr>
              <w:t>проект</w:t>
            </w:r>
          </w:p>
        </w:tc>
      </w:tr>
      <w:tr>
        <w:trPr/>
        <w:tc>
          <w:tcPr>
            <w:tcW w:w="7284" w:type="dxa"/>
            <w:tcBorders>
              <w:left w:val="single" w:sz="2" w:space="0" w:color="000000"/>
              <w:bottom w:val="single" w:sz="2" w:space="0" w:color="000000"/>
            </w:tcBorders>
          </w:tcPr>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45. Внесение проектов решений в Думу</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7. Проекты носящих нормативный характер решений Думы, предусматривающие установление, изменение и отмену местных налогов и сборов, осуществление расходов из средств бюджета Великого Новгорода, представляются в Думу только по инициативе Мэра Великого Новгорода либо при наличии заключения Мэра Великого Новгорода. Проекты решений Думы об утверждении бюджета Великого Новгорода, годового отчета о его исполнении вносятся в Думу с учетом требований, установленных Положением о бюджетном процессе в Великом Новгороде, утвержденным решением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Заключения Контрольно-счетной палаты Великого Новгорода по проектам решений Думы в части, касающейся расходных обязательств Великого Новгорода, а также по проектам, приводящим к изменению доходной части бюджета Великого Новгорода, рассматриваются Думой одновременно с соответствующим проектом решения Думы.</w:t>
            </w:r>
          </w:p>
          <w:p>
            <w:pPr>
              <w:pStyle w:val="Normal"/>
              <w:widowControl w:val="false"/>
              <w:ind w:left="0" w:right="0" w:firstLine="540"/>
              <w:jc w:val="both"/>
              <w:rPr>
                <w:rFonts w:ascii="Arial" w:hAnsi="Arial"/>
                <w:b w:val="false"/>
                <w:b w:val="false"/>
                <w:bCs w:val="false"/>
                <w:i w:val="false"/>
                <w:i w:val="false"/>
                <w:iCs/>
                <w:strike/>
                <w:sz w:val="20"/>
                <w:u w:val="none"/>
              </w:rPr>
            </w:pPr>
            <w:r>
              <w:rPr>
                <w:rFonts w:ascii="Arial" w:hAnsi="Arial"/>
                <w:b w:val="false"/>
                <w:bCs w:val="false"/>
                <w:i w:val="false"/>
                <w:iCs/>
                <w:strike/>
                <w:sz w:val="20"/>
                <w:u w:val="none"/>
              </w:rPr>
              <w:t>К проектам решений Думы, в соответствии с которыми имеется намерение предоставить муниципальную преференцию, в случаях, предусмотренных Федеральным законом "О защите конкуренции", должно быть приложено согласие антимонопольного органа.</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К проектам решений Думы, подлежащим вынесению на публичные слушания, общественные обсуждения, должны быть приложены копии заключений о результатах публичных слушаний, общественных обсуждений.</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К проектам решений Думы, подлежащим оценке регулирующего воздействия, должны быть приложены копии заключений об оценке регулирующего воздействия проектов решений. Если проект носящего нормативный характер решения Думы не подлежит оценке регулирующего воздействия, мотивированное обоснование отсутствия необходимости проведения такой процедуры включается в текст пояснительной записки.</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46. Предварительное рассмотрение проектов решений Думы</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4. Аппарат Думы проверяет поступившие документы на соответствие требованиям, установленным настоящим Регламентом, и в течение пяти рабочих дней со дня поступления в аппарат Думы готовит соответствующие заключения. Заключения должны содержать соответственно выводы о соответствии или несоответствии проекта решения Думы действующему законодательству, необходимости внесения в него поправок. В случае невозможности или затруднительности подготовить заключение в течение установленного срока, срок для подготовки заключения может быть продлен Председателем Думы на основании служебной записки руководителя структурного подразделения аппарата Думы. Продление срока подготовки заключения оформляется проставлением резолюции Председателя Думы на служебной записке.</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Заключения по результатам предварительной антикоррупционной экспертизы проектов решений Думы готовятся правовым управлением аппарата Думы в порядке и сроки, установленные решением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48. Заседания Думы</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8. Заседания Думы проводятся гласно и носят открытый характер.</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На заседаниях Думы могут присутствовать, в том числе по приглашению Председателя Думы, граждане, представители организаций, государственных органов и органов местного самоуправления (далее - присутствующие лица). Количество присутствующих лиц ограничивается наличием свободных мест в зале заседания.</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Депутаты Думы, сотрудники аппарата Думы и Администрации Великого Новгорода, присутствующие лица занимают в зале заседания специально отведенные им места.</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На заседаниях Думы вправе присутствовать представители средств массовой информации, регистрируемые работниками аппарата Думы. При осуществлении профессиональной деятельности представители средств массовой информации должны иметь таблички (бейджи) с указанием принадлежности к организации, осуществляющей выпуск средства массовой информации.</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Представители средств массовой информации, присутствующие лица не вправе вмешиваться в ход заседания Думы, обязаны воздерживаться от громких разговоров, проявления одобрения или неодобрения поведения и высказываний депутатов Думы, не прерывать их, не подавать реплик, соблюдать общественный порядок и подчиняться распоряжениям председательствующего на заседании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Во время заседания Думы не может осуществляться перемещение по залу заседания присутствующих лиц, за исключением представителей средств массовой информации, сотрудников аппарата Думы и Администрации Великого Новгорода, которые своим перемещением не должны создавать помех работе депутатов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До окончания заседания Думы присутствующие лица могут покинуть зал заседания во время смены докладчиков или в перерыве.</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Присутствующие лица могут производить аудио-, фото- и видеозапись заседания Думы при условии, что такая запись не мешает проведению заседания.</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На период проведения заседания Думы в зале заседания допускается размещение аудио-, фото- и видеозаписывающей аппаратуры представителей средств массовой информации, сотрудников аппарата Думы и Администрации Великого Новгорода, к должностным обязанностям которых относится освещение работы органов местного самоуправления Великого Новгорода. Иные лица вправе размещать такую аппаратуру в пределах мест, отведенных для присутствующих лиц.</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В случае нарушения общественного порядка присутствующие лица могут быть удалены из зала по требованию председательствующего на заседании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В случае введения на территории Великого Новгорода режима повышенной готовности или чрезвычайной ситуации количество присутствующих лиц может быть ограничено решением уполномоченного органа.</w:t>
            </w:r>
          </w:p>
        </w:tc>
        <w:tc>
          <w:tcPr>
            <w:tcW w:w="7340" w:type="dxa"/>
            <w:tcBorders>
              <w:left w:val="single" w:sz="2" w:space="0" w:color="000000"/>
              <w:bottom w:val="single" w:sz="2" w:space="0" w:color="000000"/>
              <w:right w:val="single" w:sz="2" w:space="0" w:color="000000"/>
            </w:tcBorders>
          </w:tcPr>
          <w:p>
            <w:pPr>
              <w:pStyle w:val="Normal"/>
              <w:widowControl w:val="false"/>
              <w:ind w:left="0" w:right="0" w:firstLine="540"/>
              <w:jc w:val="both"/>
              <w:rPr>
                <w:rFonts w:ascii="Arial" w:hAnsi="Arial"/>
                <w:b w:val="false"/>
                <w:b w:val="false"/>
                <w:bCs/>
                <w:i w:val="false"/>
                <w:i w:val="false"/>
                <w:iCs/>
                <w:strike w:val="false"/>
                <w:dstrike w:val="false"/>
                <w:sz w:val="20"/>
                <w:u w:val="none"/>
              </w:rPr>
            </w:pPr>
            <w:r>
              <w:rPr>
                <w:rFonts w:ascii="Arial" w:hAnsi="Arial"/>
                <w:b w:val="false"/>
                <w:bCs/>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45. Внесение проектов решений в Думу</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7. Проекты носящих нормативный характер решений Думы, предусматривающие установление, изменение и отмену местных налогов и сборов, осуществление расходов из средств бюджета Великого Новгорода, представляются в Думу только по инициативе Мэра Великого Новгорода либо при наличии заключения Мэра Великого Новгорода. Проекты решений Думы об утверждении бюджета Великого Новгорода, годового отчета о его исполнении вносятся в Думу с учетом требований, установленных Положением о бюджетном процессе в Великом Новгороде, утвержденным решением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Заключения Контрольно-счетной палаты Великого Новгорода по проектам решений Думы в части, касающейся расходных обязательств Великого Новгорода, а также по проектам, приводящим к изменению доходной части бюджета Великого Новгорода, рассматриваются Думой одновременно с соответствующим проектом решения Думы.</w:t>
            </w:r>
          </w:p>
          <w:p>
            <w:pPr>
              <w:pStyle w:val="Normal"/>
              <w:widowControl w:val="false"/>
              <w:ind w:left="0" w:right="0" w:firstLine="540"/>
              <w:jc w:val="both"/>
              <w:rPr>
                <w:rFonts w:ascii="Arial" w:hAnsi="Arial"/>
                <w:b w:val="false"/>
                <w:b w:val="false"/>
                <w:bCs w:val="false"/>
                <w:i/>
                <w:i/>
                <w:iCs/>
                <w:strike w:val="false"/>
                <w:dstrike w:val="false"/>
                <w:sz w:val="18"/>
                <w:szCs w:val="18"/>
                <w:u w:val="none"/>
              </w:rPr>
            </w:pPr>
            <w:r>
              <w:rPr>
                <w:rFonts w:ascii="Arial" w:hAnsi="Arial"/>
                <w:b w:val="false"/>
                <w:bCs w:val="false"/>
                <w:i/>
                <w:iCs/>
                <w:strike w:val="false"/>
                <w:dstrike w:val="false"/>
                <w:sz w:val="18"/>
                <w:szCs w:val="18"/>
                <w:u w:val="none"/>
              </w:rPr>
              <w:t xml:space="preserve">Абзац исключен </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К проектам решений Думы, подлежащим вынесению на публичные слушания, общественные обсуждения, должны быть приложены копии заключений о результатах публичных слушаний, общественных обсуждений.</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К проектам решений Думы, подлежащим оценке регулирующего воздействия, должны быть приложены копии заключений об оценке регулирующего воздействия проектов решений. Если проект носящего нормативный характер решения Думы не подлежит оценке регулирующего воздействия, мотивированное обоснование отсутствия необходимости проведения такой процедуры включается в текст пояснительной записки.</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46. Предварительное рассмотрение проектов решений Думы</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b/>
                <w:bCs/>
                <w:i/>
                <w:i/>
                <w:iCs/>
                <w:sz w:val="20"/>
              </w:rPr>
            </w:pPr>
            <w:r>
              <w:rPr>
                <w:rFonts w:ascii="Arial" w:hAnsi="Arial"/>
                <w:b/>
                <w:bCs/>
                <w:i/>
                <w:iCs/>
                <w:strike w:val="false"/>
                <w:dstrike w:val="false"/>
                <w:sz w:val="20"/>
                <w:u w:val="none"/>
              </w:rPr>
              <w:t>4. Правовое управление аппарата Думы проводит правовую экспертизу проектов решений Думы и в случае выявления несоответствия проектов действующему законодательству не позднее дня проведения заседаний постоянных депутатских комиссий Думы, рассматривающих такие проекты, готовит соответствующие заключения.</w:t>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strike w:val="false"/>
                <w:dstrike w:val="false"/>
                <w:u w:val="none"/>
              </w:rPr>
            </w:pPr>
            <w:r>
              <w:rPr>
                <w:rFonts w:ascii="Arial" w:hAnsi="Arial"/>
                <w:b/>
                <w:bCs/>
                <w:i/>
                <w:iCs/>
                <w:sz w:val="20"/>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Заключения по результатам предварительной антикоррупционной экспертизы проектов решений Думы готовятся правовым управлением аппарата Думы в порядке и сроки, установленные решением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t>Статья 48. Заседания Думы</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bCs/>
                <w:i w:val="false"/>
                <w:iCs/>
                <w:strike w:val="false"/>
                <w:dstrike w:val="false"/>
                <w:sz w:val="20"/>
                <w:u w:val="none"/>
              </w:rPr>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8. Заседания Думы проводятся гласно и носят открытый характер.</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На заседаниях Думы могут присутствовать, в том числе по приглашению Председателя Думы, граждане, представители организаций, государственных органов и органов местного самоуправления (далее - присутствующие лица). Количество присутствующих лиц ограничивается наличием свободных мест в зале заседания.</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Депутаты Думы, сотрудники аппарата Думы и Администрации Великого Новгорода, присутствующие лица занимают в зале заседания специально отведенные им места.</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Н</w:t>
            </w:r>
            <w:r>
              <w:rPr>
                <w:rFonts w:ascii="Arial" w:hAnsi="Arial"/>
                <w:b w:val="false"/>
                <w:bCs w:val="false"/>
                <w:i w:val="false"/>
                <w:iCs/>
                <w:strike w:val="false"/>
                <w:dstrike w:val="false"/>
                <w:sz w:val="20"/>
                <w:u w:val="none"/>
              </w:rPr>
              <w:t>а заседаниях Думы вправе присутствовать представители средств массовой информации, регистрируемые работниками аппарата Думы. При осуществлении профессиональной деятельности представители средств массовой информации должны иметь таблички (бейджи) с указанием принадлежности к организации, осуществляющей выпуск средства массовой информации.</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Представители средств массовой информации, присутствующие лица не вправе вмешиваться в ход заседания Думы, обязаны воздерживаться от громких разговоров, проявления одобрения или неодобрения поведения и высказываний депутатов Думы, не прерывать их, не подавать реплик, соблюдать общественный порядок и подчиняться распоряжениям председательствующего на заседании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 xml:space="preserve">Во время заседания Думы не может осуществляться перемещение по залу заседания присутствующих лиц, за исключением представителей средств массовой информации, сотрудников аппарата Думы и Администрации Великого Новгорода, которые своим перемещением не должны создавать помех работе депутатов Думы. </w:t>
            </w:r>
            <w:r>
              <w:rPr>
                <w:rFonts w:ascii="Arial" w:hAnsi="Arial"/>
                <w:b/>
                <w:bCs/>
                <w:i/>
                <w:iCs/>
                <w:strike w:val="false"/>
                <w:dstrike w:val="false"/>
                <w:sz w:val="20"/>
                <w:u w:val="none"/>
              </w:rPr>
              <w:t xml:space="preserve">Представители средств массовой информации вправе перемещаться по залу заседания для выбора точек фото- и видеосъемки в течение первых </w:t>
            </w:r>
            <w:r>
              <w:rPr>
                <w:rFonts w:ascii="Arial" w:hAnsi="Arial"/>
                <w:b/>
                <w:bCs/>
                <w:i/>
                <w:iCs/>
                <w:strike w:val="false"/>
                <w:dstrike w:val="false"/>
                <w:sz w:val="20"/>
                <w:u w:val="none"/>
              </w:rPr>
              <w:t>тридцати</w:t>
            </w:r>
            <w:r>
              <w:rPr>
                <w:rFonts w:ascii="Arial" w:hAnsi="Arial"/>
                <w:b/>
                <w:bCs/>
                <w:i/>
                <w:iCs/>
                <w:strike w:val="false"/>
                <w:dstrike w:val="false"/>
                <w:sz w:val="20"/>
                <w:u w:val="none"/>
              </w:rPr>
              <w:t xml:space="preserve"> минут с момента начала заседания Думы, по окончании чего занимают </w:t>
            </w:r>
            <w:r>
              <w:rPr>
                <w:rFonts w:ascii="Arial" w:hAnsi="Arial"/>
                <w:b/>
                <w:bCs/>
                <w:i/>
                <w:iCs/>
                <w:strike w:val="false"/>
                <w:dstrike w:val="false"/>
                <w:sz w:val="20"/>
                <w:u w:val="none"/>
              </w:rPr>
              <w:t xml:space="preserve">места, </w:t>
            </w:r>
            <w:r>
              <w:rPr>
                <w:rFonts w:ascii="Arial" w:hAnsi="Arial"/>
                <w:b/>
                <w:bCs/>
                <w:i/>
                <w:iCs/>
                <w:strike w:val="false"/>
                <w:dstrike w:val="false"/>
                <w:sz w:val="20"/>
                <w:u w:val="none"/>
              </w:rPr>
              <w:t>специально отведенные для представителей средств массовой информации. Места в зале заседаний для представителей средств массовой информации определяются аппаратом Думы перед началом заседания Думы.</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До окончания заседания Думы присутствующие лица могут покинуть зал заседания во время смены докладчиков или в перерыве.</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Присутствующие лица могут производить аудио-, фото- и видеозапись заседания Думы при условии, что такая запись не мешает проведению заседания.</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 xml:space="preserve">На период проведения заседания Думы в зале заседания допускается размещение аудио-, фото- и видеозаписывающей аппаратуры представителей средств массовой информации, сотрудников аппарата Думы и Администрации Великого Новгорода, к должностным обязанностям которых относится освещение работы органов местного самоуправления Великого Новгорода. </w:t>
            </w:r>
            <w:r>
              <w:rPr>
                <w:rFonts w:ascii="Arial" w:hAnsi="Arial"/>
                <w:b/>
                <w:bCs/>
                <w:i/>
                <w:iCs/>
                <w:strike w:val="false"/>
                <w:dstrike w:val="false"/>
                <w:sz w:val="20"/>
                <w:u w:val="none"/>
              </w:rPr>
              <w:t xml:space="preserve">Места для размещения в зале заседаний аудио-, фото- и видеозаписывающей аппаратуры представителей средств массовой информации определяются аппаратом Думы перед началом заседания Думы. </w:t>
            </w:r>
            <w:r>
              <w:rPr>
                <w:rFonts w:ascii="Arial" w:hAnsi="Arial"/>
                <w:b w:val="false"/>
                <w:bCs w:val="false"/>
                <w:i w:val="false"/>
                <w:iCs/>
                <w:strike w:val="false"/>
                <w:dstrike w:val="false"/>
                <w:sz w:val="20"/>
                <w:u w:val="none"/>
              </w:rPr>
              <w:t>Иные лица вправе размещать такую аппаратуру в пределах мест, отведенных для присутствующих лиц.</w:t>
            </w:r>
          </w:p>
          <w:p>
            <w:pPr>
              <w:pStyle w:val="Normal"/>
              <w:widowControl w:val="false"/>
              <w:ind w:left="0" w:right="0" w:firstLine="540"/>
              <w:jc w:val="both"/>
              <w:rPr>
                <w:rFonts w:ascii="Arial" w:hAnsi="Arial"/>
                <w:b w:val="false"/>
                <w:b w:val="false"/>
                <w:bCs w:val="false"/>
                <w:i w:val="false"/>
                <w:i w:val="false"/>
                <w:iCs/>
                <w:strike w:val="false"/>
                <w:dstrike w:val="false"/>
                <w:sz w:val="20"/>
                <w:u w:val="none"/>
              </w:rPr>
            </w:pPr>
            <w:r>
              <w:rPr>
                <w:rFonts w:ascii="Arial" w:hAnsi="Arial"/>
                <w:b w:val="false"/>
                <w:bCs w:val="false"/>
                <w:i w:val="false"/>
                <w:iCs/>
                <w:strike w:val="false"/>
                <w:dstrike w:val="false"/>
                <w:sz w:val="20"/>
                <w:u w:val="none"/>
              </w:rPr>
              <w:t>В случае нарушения общественного порядка присутствующие лица могут быть удалены из зала по требованию председательствующего на заседании Думы.</w:t>
            </w:r>
          </w:p>
          <w:p>
            <w:pPr>
              <w:pStyle w:val="Normal"/>
              <w:widowControl w:val="false"/>
              <w:ind w:left="0" w:right="0" w:firstLine="540"/>
              <w:jc w:val="both"/>
              <w:rPr>
                <w:rFonts w:ascii="Arial" w:hAnsi="Arial"/>
                <w:b/>
                <w:b/>
                <w:bCs/>
                <w:i w:val="false"/>
                <w:i w:val="false"/>
                <w:iCs/>
                <w:strike w:val="false"/>
                <w:dstrike w:val="false"/>
                <w:sz w:val="20"/>
                <w:u w:val="none"/>
              </w:rPr>
            </w:pPr>
            <w:r>
              <w:rPr>
                <w:rFonts w:ascii="Arial" w:hAnsi="Arial"/>
                <w:b w:val="false"/>
                <w:bCs w:val="false"/>
                <w:i w:val="false"/>
                <w:iCs/>
                <w:strike w:val="false"/>
                <w:dstrike w:val="false"/>
                <w:sz w:val="20"/>
                <w:u w:val="none"/>
              </w:rPr>
              <w:t>В случае введения на территории Великого Новгорода режима повышенной готовности или чрезвычайной ситуации количество присутствующих лиц может быть ограничено решением уполномоченного органа.</w:t>
            </w:r>
          </w:p>
        </w:tc>
      </w:tr>
    </w:tbl>
    <w:p>
      <w:pPr>
        <w:pStyle w:val="Normal"/>
        <w:rPr/>
      </w:pPr>
      <w:r>
        <w:rPr/>
      </w:r>
    </w:p>
    <w:sectPr>
      <w:type w:val="nextPage"/>
      <w:pgSz w:orient="landscape" w:w="16838" w:h="11906"/>
      <w:pgMar w:left="1134" w:right="1134" w:gutter="0" w:header="0" w:top="1134" w:footer="0" w:bottom="1134"/>
      <w:pgNumType w:fmt="decimal"/>
      <w:formProt w:val="false"/>
      <w:textDirection w:val="lrTb"/>
      <w:docGrid w:type="default" w:linePitch="312"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Liberation Sans">
    <w:altName w:val="Arial"/>
    <w:charset w:val="cc"/>
    <w:family w:val="roman"/>
    <w:pitch w:val="variable"/>
  </w:font>
  <w:font w:name="Arial">
    <w:charset w:val="cc"/>
    <w:family w:val="roman"/>
    <w:pitch w:val="variable"/>
  </w:font>
</w:fonts>
</file>

<file path=word/settings.xml><?xml version="1.0" encoding="utf-8"?>
<w:settings xmlns:w="http://schemas.openxmlformats.org/wordprocessingml/2006/main">
  <w:zoom w:percent="14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ru-RU"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NSimSun" w:cs="Arial"/>
      <w:color w:val="auto"/>
      <w:kern w:val="2"/>
      <w:sz w:val="24"/>
      <w:szCs w:val="24"/>
      <w:lang w:val="ru-RU" w:eastAsia="zh-CN" w:bidi="hi-IN"/>
    </w:rPr>
  </w:style>
  <w:style w:type="character" w:styleId="Style14">
    <w:name w:val="Интернет-ссылка"/>
    <w:rPr>
      <w:color w:val="000080"/>
      <w:u w:val="single"/>
      <w:lang w:val="zxx" w:eastAsia="zxx" w:bidi="zxx"/>
    </w:rPr>
  </w:style>
  <w:style w:type="paragraph" w:styleId="Style15">
    <w:name w:val="Заголовок"/>
    <w:basedOn w:val="Normal"/>
    <w:next w:val="Style16"/>
    <w:qFormat/>
    <w:pPr>
      <w:keepNext w:val="true"/>
      <w:spacing w:before="240" w:after="120"/>
    </w:pPr>
    <w:rPr>
      <w:rFonts w:ascii="Liberation Sans" w:hAnsi="Liberation Sans" w:eastAsia="Microsoft YaHei" w:cs="Arial"/>
      <w:sz w:val="28"/>
      <w:szCs w:val="28"/>
    </w:rPr>
  </w:style>
  <w:style w:type="paragraph" w:styleId="Style16">
    <w:name w:val="Body Text"/>
    <w:basedOn w:val="Normal"/>
    <w:pPr>
      <w:spacing w:lineRule="auto" w:line="276" w:before="0" w:after="140"/>
    </w:pPr>
    <w:rPr/>
  </w:style>
  <w:style w:type="paragraph" w:styleId="Style17">
    <w:name w:val="List"/>
    <w:basedOn w:val="Style16"/>
    <w:pPr/>
    <w:rPr>
      <w:rFonts w:cs="Arial"/>
    </w:rPr>
  </w:style>
  <w:style w:type="paragraph" w:styleId="Style18">
    <w:name w:val="Caption"/>
    <w:basedOn w:val="Normal"/>
    <w:qFormat/>
    <w:pPr>
      <w:suppressLineNumbers/>
      <w:spacing w:before="120" w:after="120"/>
    </w:pPr>
    <w:rPr>
      <w:rFonts w:cs="Arial"/>
      <w:i/>
      <w:iCs/>
      <w:sz w:val="24"/>
      <w:szCs w:val="24"/>
    </w:rPr>
  </w:style>
  <w:style w:type="paragraph" w:styleId="Style19">
    <w:name w:val="Указатель"/>
    <w:basedOn w:val="Normal"/>
    <w:qFormat/>
    <w:pPr>
      <w:suppressLineNumbers/>
    </w:pPr>
    <w:rPr>
      <w:rFonts w:cs="Arial"/>
      <w:lang w:val="zxx" w:eastAsia="zxx" w:bidi="zxx"/>
    </w:rPr>
  </w:style>
  <w:style w:type="paragraph" w:styleId="Style20">
    <w:name w:val="Содержимое таблицы"/>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141</TotalTime>
  <Application>LibreOffice/7.2.5.2$Windows_X86_64 LibreOffice_project/499f9727c189e6ef3471021d6132d4c694f357e5</Application>
  <AppVersion>15.0000</AppVersion>
  <Pages>4</Pages>
  <Words>3217</Words>
  <Characters>24018</Characters>
  <CharactersWithSpaces>27046</CharactersWithSpaces>
  <Paragraphs>208</Paragraphs>
  <Company>КонсультантПлюс Версия 4024.00.01</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2024-07-19T12:30:00Z</dcterms:created>
  <dc:creator/>
  <dc:description/>
  <dc:language>ru-RU</dc:language>
  <cp:lastModifiedBy/>
  <cp:lastPrinted>2025-12-03T16:05:11Z</cp:lastPrinted>
  <dcterms:modified xsi:type="dcterms:W3CDTF">2025-12-03T16:05:06Z</dcterms:modified>
  <cp:revision>22</cp:revision>
  <dc:subject/>
  <dc:title>"Регламент Думы Великого Новгорода"(утв. Решением Думы Великого Новгорода от 05.06.2002 N 355)(ред. от 22.02.2024)</dc:title>
</cp:coreProperties>
</file>

<file path=docProps/custom.xml><?xml version="1.0" encoding="utf-8"?>
<Properties xmlns="http://schemas.openxmlformats.org/officeDocument/2006/custom-properties" xmlns:vt="http://schemas.openxmlformats.org/officeDocument/2006/docPropsVTypes"/>
</file>