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  <w:shd w:fill="FFFFFF" w:val="clear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32"/>
          <w:szCs w:val="32"/>
          <w:shd w:fill="FFFFFF" w:val="clear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32"/>
          <w:szCs w:val="32"/>
          <w:shd w:fill="FFFFFF" w:val="clear"/>
        </w:rPr>
        <w:t>Проект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40"/>
          <w:szCs w:val="40"/>
          <w:shd w:fill="FFFFFF" w:val="clear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Cs/>
          <w:color w:val="000000"/>
          <w:sz w:val="40"/>
          <w:szCs w:val="40"/>
          <w:shd w:fill="FFFFFF" w:val="clear"/>
        </w:rPr>
      </w:pPr>
      <w:r>
        <w:rPr>
          <w:b/>
          <w:bCs/>
          <w:color w:val="000000"/>
          <w:sz w:val="40"/>
          <w:szCs w:val="40"/>
          <w:shd w:fill="FFFFFF" w:val="clear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  <w:shd w:fill="FFFFFF" w:val="clear"/>
              </w:rPr>
            </w:pPr>
            <w:r>
              <w:rPr>
                <w:color w:val="000000"/>
                <w:sz w:val="24"/>
                <w:szCs w:val="24"/>
                <w:shd w:fill="FFFFFF" w:val="clear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shd w:fill="FFFFFF" w:val="clear"/>
        </w:rPr>
      </w:pPr>
      <w:r>
        <w:rPr>
          <w:color w:val="000000"/>
          <w:sz w:val="24"/>
          <w:szCs w:val="24"/>
          <w:shd w:fill="FFFFFF" w:val="clear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color w:val="000000"/>
          <w:sz w:val="26"/>
          <w:szCs w:val="26"/>
          <w:shd w:fill="FFFFFF" w:val="clear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  <w:shd w:fill="FFFFFF" w:val="clear"/>
        </w:rPr>
      </w:pPr>
      <w:r>
        <w:rPr>
          <w:color w:val="000000"/>
          <w:sz w:val="26"/>
          <w:szCs w:val="26"/>
          <w:shd w:fill="FFFFFF" w:val="clear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widowControl w:val="false"/>
              <w:spacing w:lineRule="auto" w:line="240" w:before="0" w:after="240"/>
              <w:ind w:left="23" w:hanging="0"/>
              <w:jc w:val="center"/>
              <w:rPr>
                <w:shd w:fill="auto" w:val="clear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  <w:shd w:fill="auto" w:val="clear"/>
              </w:rPr>
              <w:t>О</w:t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hd w:fill="auto" w:val="clear"/>
              </w:rPr>
              <w:t xml:space="preserve"> внесении изменения в Примерное положение об</w:t>
            </w:r>
            <w:r>
              <w:rPr>
                <w:b/>
                <w:bCs/>
                <w:color w:val="000000"/>
                <w:shd w:fill="auto" w:val="clear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hd w:fill="auto" w:val="clear"/>
              </w:rPr>
              <w:t>оплате труда работников муниципальных учреждений</w:t>
            </w:r>
            <w:r>
              <w:rPr>
                <w:b/>
                <w:bCs/>
                <w:color w:val="000000"/>
                <w:shd w:fill="auto" w:val="clear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hd w:fill="auto" w:val="clear"/>
              </w:rPr>
              <w:t>Великого Новгорода, подведомственных комитету по</w:t>
            </w:r>
            <w:r>
              <w:rPr>
                <w:b/>
                <w:bCs/>
                <w:color w:val="000000"/>
                <w:shd w:fill="auto" w:val="clear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hd w:fill="auto" w:val="clear"/>
              </w:rPr>
              <w:t>управлению городским и дорожным хозяйством</w:t>
            </w:r>
            <w:r>
              <w:rPr>
                <w:b/>
                <w:bCs/>
                <w:color w:val="000000"/>
                <w:shd w:fill="auto" w:val="clear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hd w:fill="auto" w:val="clear"/>
              </w:rPr>
              <w:t>Администрации Великого Новгорода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Cs/>
                <w:color w:val="000000"/>
                <w:sz w:val="26"/>
                <w:szCs w:val="26"/>
                <w:shd w:fill="FFFFFF" w:val="clear"/>
              </w:rPr>
            </w:pPr>
            <w:r>
              <w:rPr>
                <w:b/>
                <w:bCs/>
                <w:color w:val="000000"/>
                <w:sz w:val="26"/>
                <w:szCs w:val="26"/>
                <w:shd w:fill="FFFFFF" w:val="clear"/>
              </w:rPr>
            </w:r>
          </w:p>
        </w:tc>
      </w:tr>
    </w:tbl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hyperlink r:id="rId3">
        <w:r>
          <w:rPr>
            <w:rFonts w:eastAsia="Times New Roman" w:cs="Times New Roman"/>
            <w:color w:val="000000"/>
            <w:kern w:val="0"/>
            <w:sz w:val="26"/>
            <w:szCs w:val="26"/>
            <w:shd w:fill="auto" w:val="clear"/>
            <w:lang w:val="ru-RU" w:eastAsia="ru-RU" w:bidi="ar-SA"/>
          </w:rPr>
          <w:t xml:space="preserve">В соответствии с Трудовым кодексом Российской Федерации, Федеральным законом от 6 октября 2003 года № 131-ФЗ «Об общих принципах организации местного самоуправления в Российской Федерации», Уставом муниципального образования городского округа Великий Новгород, постановлением Администрации Великого Новгорода от 21.08.2014 № 4465 "О системе оплаты труда работников муниципальных учреждений Великого Новгорода" </w:t>
        </w:r>
      </w:hyperlink>
      <w:hyperlink r:id="rId4">
        <w:r>
          <w:rPr>
            <w:rFonts w:ascii="Times New Roman Cyr" w:hAnsi="Times New Roman Cyr"/>
            <w:b w:val="false"/>
            <w:bCs/>
            <w:i w:val="false"/>
            <w:strike w:val="false"/>
            <w:dstrike w:val="false"/>
            <w:color w:val="000000"/>
            <w:sz w:val="26"/>
            <w:szCs w:val="26"/>
            <w:u w:val="none"/>
            <w:shd w:fill="auto" w:val="clear"/>
          </w:rPr>
          <w:t>А</w:t>
        </w:r>
      </w:hyperlink>
      <w:r>
        <w:rPr>
          <w:rFonts w:ascii="Times New Roman Cyr" w:hAnsi="Times New Roman Cyr"/>
          <w:color w:val="000000"/>
          <w:sz w:val="26"/>
          <w:shd w:fill="auto" w:val="clear"/>
        </w:rPr>
        <w:t xml:space="preserve">дминистрация Великого Новгорода </w:t>
      </w:r>
      <w:r>
        <w:rPr>
          <w:rFonts w:ascii="Times New Roman Cyr" w:hAnsi="Times New Roman Cyr"/>
          <w:b/>
          <w:color w:val="000000"/>
          <w:sz w:val="26"/>
          <w:shd w:fill="auto" w:val="clear"/>
        </w:rPr>
        <w:t>постановляет:</w:t>
      </w:r>
    </w:p>
    <w:p>
      <w:pPr>
        <w:pStyle w:val="Normal"/>
        <w:spacing w:lineRule="auto" w:line="360" w:before="0" w:after="0"/>
        <w:jc w:val="both"/>
        <w:rPr/>
      </w:pPr>
      <w:r>
        <w:rPr>
          <w:rFonts w:cs="Times New Roman"/>
          <w:sz w:val="26"/>
          <w:szCs w:val="26"/>
          <w:shd w:fill="auto" w:val="clear"/>
        </w:rPr>
        <w:t xml:space="preserve">1. Внести изменение в Примерное положение об оплате труда работников муниципальных учреждений, подведомственных комитету по управлению городским и дорожным хозяйством Администрации Великого Новгорода, утвержденное постановлением Администрации Великого Новгорода от 12.04.2018 № 1644 (в редакции постановлений Администрации Великого Новгорода от 26.07.2019 № 3082, от 26.07.2021 № 4034, от 27.10.2021 № 5709, от 17.08.2022 № 3825, от 23.11.2023 № 5639, от 28.12.2023 №6253, </w:t>
      </w:r>
      <w:r>
        <w:rPr>
          <w:rFonts w:cs="Times New Roman"/>
          <w:b w:val="false"/>
          <w:bCs w:val="false"/>
          <w:color w:val="000000"/>
          <w:sz w:val="26"/>
          <w:szCs w:val="26"/>
          <w:shd w:fill="auto" w:val="clear"/>
        </w:rPr>
        <w:t>от 03.09.2024 №3791, от 22.10.2024 №4525, от 02.11.2024 №4692, от 24.12.2024 №5495</w:t>
      </w:r>
      <w:r>
        <w:rPr>
          <w:rFonts w:cs="Times New Roman"/>
          <w:sz w:val="26"/>
          <w:szCs w:val="26"/>
          <w:shd w:fill="auto" w:val="clear"/>
        </w:rPr>
        <w:t xml:space="preserve">),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следующие изменения:</w:t>
      </w:r>
    </w:p>
    <w:p>
      <w:pPr>
        <w:pStyle w:val="Normal"/>
        <w:jc w:val="both"/>
        <w:rPr>
          <w:shd w:fill="FFFFFF" w:val="clear"/>
        </w:rPr>
      </w:pPr>
      <w:r>
        <w:rPr>
          <w:shd w:fill="FFFFFF" w:val="clear"/>
        </w:rPr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1.1. В пункте 1.11, заголовке раздела 2, пункте 2.1, заголовке раздела 5, </w:t>
        <w:br/>
        <w:t xml:space="preserve">пункте 5.1, заголовке раздела 6, абзаце втором пункта 6.1, пунктах 6.3, 6.4, 6.5, </w:t>
        <w:br/>
        <w:t>абзаце третьем пункта 6.6 после слов "заместителей директоров"</w:t>
      </w:r>
      <w:r>
        <w:rPr>
          <w:sz w:val="26"/>
          <w:szCs w:val="26"/>
          <w:shd w:fill="FFFFFF" w:val="clear"/>
          <w:lang w:val="ru-RU"/>
        </w:rPr>
        <w:t xml:space="preserve">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>1.2. В пункте 6.8: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первом после слов "заместители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 xml:space="preserve">слова "управляющие по содержанию объектов благоустройства"; 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втором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1.3. В пунктах 6.10, 6.12, 6.14, заголовке раздела 7, пунктах 7.1, 7.3, 7.5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1.4. В пункте 7.6 после слов "заместителя директора"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"управляющего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1.5. В пунктах 7.7, 7.8, 7.9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1.6. В подпункте 7.11.1: 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десятом после слов "заместителю директора"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"управляющему по содержанию объектов благоустройства";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тринадцатом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1.7. В абзаце восьмом подпункта 7.11.2 после слов "заместителей </w:t>
        <w:br/>
        <w:t xml:space="preserve">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 xml:space="preserve">слова "управляющих по содержанию объектов </w:t>
        <w:br/>
        <w:t>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1.8. В подпункте 7.11.5 после слов "заместителям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"управляющим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1.9. В подпункте 7.11.8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>1.10. В пункте 8.1: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абзацах первом, седьмом после слов "заместителям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"управляющим по содержанию объектов благоустройства";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десятом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одиннадцатом после слов "заместителям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"управляющим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>1.11. В пункте 8.2: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первом после слов "заместителя директора"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"управляющего по содержанию объектов благоустройства";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в абзаце пятом 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благоустройства".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1.12. В пункте 8.3: 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после слов "заместителям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 xml:space="preserve">слова "управляющим по содержанию объектов благоустройства"; </w:t>
      </w:r>
    </w:p>
    <w:p>
      <w:pPr>
        <w:pStyle w:val="Normal"/>
        <w:spacing w:lineRule="auto" w:line="360" w:before="0" w:after="0"/>
        <w:ind w:firstLine="720"/>
        <w:jc w:val="both"/>
        <w:rPr>
          <w:sz w:val="26"/>
          <w:szCs w:val="26"/>
          <w:shd w:fill="FFFFFF" w:val="clear"/>
        </w:rPr>
      </w:pPr>
      <w:r>
        <w:rPr>
          <w:sz w:val="26"/>
          <w:szCs w:val="26"/>
          <w:shd w:fill="FFFFFF" w:val="clear"/>
        </w:rPr>
        <w:t xml:space="preserve">после слов "заместителей директоров" </w:t>
      </w:r>
      <w:r>
        <w:rPr>
          <w:sz w:val="26"/>
          <w:szCs w:val="26"/>
          <w:shd w:fill="FFFFFF" w:val="clear"/>
          <w:lang w:val="en-US"/>
        </w:rPr>
        <w:t>и</w:t>
      </w:r>
      <w:r>
        <w:rPr>
          <w:sz w:val="26"/>
          <w:szCs w:val="26"/>
          <w:shd w:fill="FFFFFF" w:val="clear"/>
          <w:lang w:val="ru-RU"/>
        </w:rPr>
        <w:t xml:space="preserve">сключить </w:t>
      </w:r>
      <w:r>
        <w:rPr>
          <w:sz w:val="26"/>
          <w:szCs w:val="26"/>
          <w:shd w:fill="FFFFFF" w:val="clear"/>
        </w:rPr>
        <w:t>слова "управляющих по содержанию объектов 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rFonts w:cs="Times New Roman"/>
          <w:color w:val="000000"/>
          <w:sz w:val="26"/>
          <w:szCs w:val="26"/>
          <w:shd w:fill="FFFFFF" w:val="clear"/>
        </w:rPr>
        <w:t xml:space="preserve">1.13. В в абзацах четвертом, пятом пункта 9.5 после слов "заместителей </w:t>
        <w:br/>
        <w:t xml:space="preserve">директоров" </w:t>
      </w:r>
      <w:r>
        <w:rPr>
          <w:rFonts w:cs="Times New Roman"/>
          <w:color w:val="000000"/>
          <w:sz w:val="26"/>
          <w:szCs w:val="26"/>
          <w:shd w:fill="FFFFFF" w:val="clear"/>
          <w:lang w:val="en-US"/>
        </w:rPr>
        <w:t>и</w:t>
      </w:r>
      <w:r>
        <w:rPr>
          <w:rFonts w:cs="Times New Roman"/>
          <w:color w:val="000000"/>
          <w:sz w:val="26"/>
          <w:szCs w:val="26"/>
          <w:shd w:fill="FFFFFF" w:val="clear"/>
          <w:lang w:val="ru-RU"/>
        </w:rPr>
        <w:t xml:space="preserve">сключить </w:t>
      </w:r>
      <w:r>
        <w:rPr>
          <w:rFonts w:cs="Times New Roman"/>
          <w:color w:val="000000"/>
          <w:sz w:val="26"/>
          <w:szCs w:val="26"/>
          <w:shd w:fill="FFFFFF" w:val="clear"/>
        </w:rPr>
        <w:t xml:space="preserve">слова "управляющих по содержанию объектов </w:t>
        <w:br/>
        <w:t>благоустройства";</w:t>
      </w:r>
    </w:p>
    <w:p>
      <w:pPr>
        <w:pStyle w:val="Normal"/>
        <w:spacing w:lineRule="auto" w:line="360" w:before="0" w:after="0"/>
        <w:ind w:hanging="0"/>
        <w:jc w:val="both"/>
        <w:rPr>
          <w:sz w:val="26"/>
          <w:szCs w:val="26"/>
          <w:shd w:fill="FFFFFF" w:val="clear"/>
        </w:rPr>
      </w:pPr>
      <w:r>
        <w:rPr>
          <w:rFonts w:cs="Times New Roman"/>
          <w:sz w:val="26"/>
          <w:szCs w:val="26"/>
          <w:shd w:fill="FFFFFF" w:val="clear"/>
        </w:rPr>
        <w:t>1.2. В пункте 4.3:</w:t>
      </w:r>
    </w:p>
    <w:p>
      <w:pPr>
        <w:pStyle w:val="Normal"/>
        <w:jc w:val="both"/>
        <w:rPr>
          <w:shd w:fill="FFFFFF" w:val="clear"/>
        </w:rPr>
      </w:pPr>
      <w:r>
        <w:rPr>
          <w:rFonts w:cs="Times New Roman"/>
          <w:sz w:val="26"/>
          <w:szCs w:val="26"/>
          <w:shd w:fill="FFFFFF" w:val="clear"/>
        </w:rPr>
        <w:t>в абзаце десятом заменить цифры «30» на «60».</w:t>
      </w:r>
    </w:p>
    <w:p>
      <w:pPr>
        <w:pStyle w:val="Normal"/>
        <w:jc w:val="both"/>
        <w:rPr>
          <w:shd w:fill="FFFFFF" w:val="clear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shd w:fill="FFFFFF" w:val="clear"/>
          <w:lang w:val="ru-RU" w:eastAsia="ru-RU" w:bidi="ar-SA"/>
        </w:rPr>
        <w:t>в абзаце одиннадцатом заменить цифры «50» на «100»</w:t>
      </w:r>
    </w:p>
    <w:p>
      <w:pPr>
        <w:pStyle w:val="Normal"/>
        <w:spacing w:lineRule="auto" w:line="360" w:before="0" w:after="0"/>
        <w:ind w:hanging="0"/>
        <w:jc w:val="both"/>
        <w:rPr/>
      </w:pPr>
      <w:r>
        <w:rPr>
          <w:rFonts w:cs="Times New Roman"/>
          <w:color w:val="000000"/>
          <w:sz w:val="26"/>
          <w:szCs w:val="26"/>
          <w:shd w:fill="FFFFFF" w:val="clear"/>
        </w:rPr>
        <w:t xml:space="preserve">1.3. Изложить приложения №1, №2, </w:t>
      </w:r>
      <w:r>
        <w:rPr>
          <w:rFonts w:cs="Times New Roman"/>
          <w:color w:val="000000"/>
          <w:sz w:val="26"/>
          <w:szCs w:val="26"/>
          <w:shd w:fill="FFFFFF" w:val="clear"/>
        </w:rPr>
        <w:t>№3</w:t>
      </w:r>
      <w:r>
        <w:rPr>
          <w:rFonts w:cs="Times New Roman"/>
          <w:color w:val="000000"/>
          <w:sz w:val="26"/>
          <w:szCs w:val="26"/>
          <w:shd w:fill="FFFFFF" w:val="clear"/>
        </w:rPr>
        <w:t xml:space="preserve"> к </w:t>
        <w:br/>
        <w:t>Примерному положению в новой редакции (приложение к настоящему постановлению).</w:t>
      </w:r>
    </w:p>
    <w:p>
      <w:pPr>
        <w:pStyle w:val="Normal"/>
        <w:spacing w:lineRule="auto" w:line="360" w:before="0" w:after="29"/>
        <w:jc w:val="both"/>
        <w:rPr>
          <w:color w:val="auto"/>
        </w:rPr>
      </w:pPr>
      <w:r>
        <w:rPr>
          <w:rFonts w:ascii="Tms Rmn" w:hAnsi="Tms Rmn"/>
          <w:b w:val="false"/>
          <w:bCs w:val="false"/>
          <w:color w:val="auto"/>
          <w:sz w:val="24"/>
        </w:rPr>
        <w:t>3.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>
      <w:pPr>
        <w:pStyle w:val="Normal"/>
        <w:spacing w:lineRule="auto" w:line="360" w:before="0" w:after="0"/>
        <w:ind w:hanging="0"/>
        <w:jc w:val="both"/>
        <w:rPr>
          <w:shd w:fill="FFFFFF" w:val="clear"/>
        </w:rPr>
      </w:pPr>
      <w:r>
        <w:rPr>
          <w:sz w:val="26"/>
          <w:szCs w:val="26"/>
          <w:shd w:fill="FFFFFF" w:val="clear"/>
        </w:rPr>
        <w:t>4. Распространить действие настоящего постановления на правоотношения, возникшие с 01.</w:t>
      </w:r>
      <w:r>
        <w:rPr>
          <w:sz w:val="26"/>
          <w:szCs w:val="26"/>
          <w:shd w:fill="FFFFFF" w:val="clear"/>
          <w:lang w:val="en-US"/>
        </w:rPr>
        <w:t>10</w:t>
      </w:r>
      <w:r>
        <w:rPr>
          <w:sz w:val="26"/>
          <w:szCs w:val="26"/>
          <w:shd w:fill="FFFFFF" w:val="clear"/>
        </w:rPr>
        <w:t>.202</w:t>
      </w:r>
      <w:r>
        <w:rPr>
          <w:sz w:val="26"/>
          <w:szCs w:val="26"/>
          <w:shd w:fill="FFFFFF" w:val="clear"/>
          <w:lang w:val="en-US"/>
        </w:rPr>
        <w:t>5</w:t>
      </w:r>
      <w:r>
        <w:rPr>
          <w:sz w:val="26"/>
          <w:szCs w:val="26"/>
          <w:shd w:fill="FFFFFF" w:val="clear"/>
        </w:rPr>
        <w:t xml:space="preserve">. </w:t>
      </w:r>
    </w:p>
    <w:p>
      <w:pPr>
        <w:pStyle w:val="Normal"/>
        <w:keepLines/>
        <w:widowControl w:val="false"/>
        <w:tabs>
          <w:tab w:val="clear" w:pos="720"/>
          <w:tab w:val="left" w:pos="6946" w:leader="none"/>
        </w:tabs>
        <w:spacing w:lineRule="auto" w:line="360" w:before="0" w:after="0"/>
        <w:rPr/>
      </w:pPr>
      <w:r>
        <w:rPr>
          <w:rFonts w:ascii="Tms Rmn" w:hAnsi="Tms Rmn"/>
          <w:b/>
          <w:bCs/>
          <w:color w:val="000000"/>
          <w:sz w:val="26"/>
          <w:szCs w:val="26"/>
          <w:shd w:fill="FFFFFF" w:val="clear"/>
        </w:rPr>
        <w:t xml:space="preserve"> </w:t>
      </w:r>
      <w:hyperlink r:id="rId5">
        <w:r>
          <w:rPr>
            <w:rFonts w:ascii="Tms Rmn" w:hAnsi="Tms Rmn"/>
            <w:b/>
            <w:bCs/>
            <w:color w:val="000000"/>
            <w:sz w:val="26"/>
            <w:szCs w:val="26"/>
            <w:shd w:fill="FFFFFF" w:val="clear"/>
          </w:rPr>
          <w:t>Мэр Великого Новгорода</w:t>
          <w:tab/>
          <w:t>А.Р. Розбаум</w:t>
        </w:r>
      </w:hyperlink>
    </w:p>
    <w:p>
      <w:pPr>
        <w:pStyle w:val="Normal"/>
        <w:widowControl w:val="false"/>
        <w:tabs>
          <w:tab w:val="clear" w:pos="720"/>
          <w:tab w:val="left" w:pos="6946" w:leader="none"/>
        </w:tabs>
        <w:spacing w:lineRule="auto" w:line="360" w:before="0" w:after="0"/>
        <w:rPr>
          <w:rFonts w:ascii="Tms Rmn" w:hAnsi="Tms Rmn"/>
          <w:b/>
          <w:bCs/>
          <w:color w:val="000000"/>
          <w:sz w:val="26"/>
          <w:szCs w:val="26"/>
          <w:shd w:fill="FFFFFF" w:val="clear"/>
        </w:rPr>
      </w:pPr>
      <w:r>
        <w:rPr/>
      </w:r>
    </w:p>
    <w:p>
      <w:pPr>
        <w:pStyle w:val="Normal"/>
        <w:widowControl w:val="false"/>
        <w:tabs>
          <w:tab w:val="clear" w:pos="720"/>
          <w:tab w:val="left" w:pos="6946" w:leader="none"/>
        </w:tabs>
        <w:spacing w:lineRule="auto" w:line="360" w:before="0" w:after="0"/>
        <w:rPr>
          <w:rFonts w:ascii="Tms Rmn" w:hAnsi="Tms Rmn"/>
          <w:b/>
          <w:bCs/>
          <w:color w:val="000000"/>
          <w:sz w:val="26"/>
          <w:szCs w:val="26"/>
          <w:shd w:fill="FFFFFF" w:val="clear"/>
        </w:rPr>
      </w:pPr>
      <w:r>
        <w:rPr/>
      </w:r>
    </w:p>
    <w:p>
      <w:pPr>
        <w:pStyle w:val="Normal"/>
        <w:widowControl w:val="false"/>
        <w:tabs>
          <w:tab w:val="clear" w:pos="720"/>
          <w:tab w:val="left" w:pos="6946" w:leader="none"/>
        </w:tabs>
        <w:spacing w:lineRule="auto" w:line="360" w:before="0" w:after="0"/>
        <w:rPr>
          <w:rFonts w:ascii="Tms Rmn" w:hAnsi="Tms Rmn"/>
          <w:b/>
          <w:bCs/>
          <w:color w:val="000000"/>
          <w:sz w:val="26"/>
          <w:szCs w:val="26"/>
          <w:shd w:fill="FFFFFF" w:val="clear"/>
        </w:rPr>
      </w:pPr>
      <w:r>
        <w:rPr/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bidi w:val="0"/>
        <w:spacing w:before="0" w:after="0"/>
        <w:ind w:left="227" w:right="397" w:hanging="0"/>
        <w:jc w:val="right"/>
        <w:outlineLvl w:val="1"/>
        <w:rPr/>
      </w:pPr>
      <w:r>
        <w:rPr/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227" w:right="397" w:hanging="0"/>
        <w:jc w:val="right"/>
        <w:outlineLvl w:val="1"/>
        <w:rPr/>
      </w:pPr>
      <w:r>
        <w:rPr/>
        <w:t xml:space="preserve">   </w:t>
      </w:r>
      <w:r>
        <w:rPr>
          <w:b/>
          <w:bCs/>
        </w:rPr>
        <w:t xml:space="preserve"> </w:t>
      </w:r>
      <w:r>
        <w:rPr>
          <w:b/>
          <w:bCs/>
        </w:rPr>
        <w:t>Приложение N 1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к Примерному положению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об оплате труда работников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муниципальных учреждений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Великого Новгорода, подведомственных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комитету по управлению городским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и дорожным хозяйством Администрации</w:t>
      </w:r>
    </w:p>
    <w:p>
      <w:pPr>
        <w:pStyle w:val="ConsPlusNormal"/>
        <w:bidi w:val="0"/>
        <w:spacing w:lineRule="auto" w:line="240"/>
        <w:ind w:left="0" w:hanging="0"/>
        <w:jc w:val="right"/>
        <w:rPr/>
      </w:pPr>
      <w:r>
        <w:rPr/>
        <w:t>Великого Новгорода</w:t>
      </w:r>
    </w:p>
    <w:p>
      <w:pPr>
        <w:pStyle w:val="ConsPlusNormal"/>
        <w:bidi w:val="0"/>
        <w:ind w:left="0" w:firstLine="540"/>
        <w:jc w:val="both"/>
        <w:rPr/>
      </w:pPr>
      <w:r>
        <w:rPr/>
      </w:r>
    </w:p>
    <w:p>
      <w:pPr>
        <w:pStyle w:val="ConsPlusNormal"/>
        <w:bidi w:val="0"/>
        <w:ind w:left="0" w:hanging="0"/>
        <w:jc w:val="center"/>
        <w:rPr/>
      </w:pPr>
      <w:bookmarkStart w:id="3" w:name="Par333"/>
      <w:bookmarkEnd w:id="3"/>
      <w:r>
        <w:rPr>
          <w:b/>
        </w:rPr>
        <w:t>МИНИМАЛЬНЫЕ (БАЗОВЫЕ) ОКЛАДЫ ДЛЯ РАБОТНИКОВ</w:t>
      </w:r>
    </w:p>
    <w:p>
      <w:pPr>
        <w:pStyle w:val="ConsPlusNormal"/>
        <w:bidi w:val="0"/>
        <w:ind w:left="0" w:hanging="0"/>
        <w:jc w:val="center"/>
        <w:rPr/>
      </w:pPr>
      <w:r>
        <w:rPr>
          <w:b/>
        </w:rPr>
        <w:t>МУНИЦИПАЛЬНОГО КАЗЕННОГО УЧРЕЖДЕНИЯ ВЕЛИКОГО НОВГОРОДА</w:t>
      </w:r>
    </w:p>
    <w:p>
      <w:pPr>
        <w:pStyle w:val="ConsPlusNormal"/>
        <w:bidi w:val="0"/>
        <w:ind w:left="0" w:hanging="0"/>
        <w:jc w:val="center"/>
        <w:rPr/>
      </w:pPr>
      <w:r>
        <w:rPr>
          <w:b/>
        </w:rPr>
        <w:t>"ГОРОДСКОЕ ХОЗЯЙСТВО"</w:t>
      </w:r>
    </w:p>
    <w:p>
      <w:pPr>
        <w:pStyle w:val="ConsPlusNormal"/>
        <w:numPr>
          <w:ilvl w:val="0"/>
          <w:numId w:val="0"/>
        </w:numPr>
        <w:bidi w:val="0"/>
        <w:ind w:left="0" w:hanging="0"/>
        <w:jc w:val="center"/>
        <w:outlineLvl w:val="2"/>
        <w:rPr/>
      </w:pPr>
      <w:r>
        <w:rPr>
          <w:b/>
        </w:rPr>
        <w:t>I. ПКГ общеотраслевых профессий рабочих</w:t>
      </w:r>
    </w:p>
    <w:tbl>
      <w:tblPr>
        <w:tblW w:w="9690" w:type="dxa"/>
        <w:jc w:val="left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648"/>
        <w:gridCol w:w="2694"/>
        <w:gridCol w:w="2348"/>
      </w:tblGrid>
      <w:tr>
        <w:trPr/>
        <w:tc>
          <w:tcPr>
            <w:tcW w:w="4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center"/>
              <w:rPr>
                <w:b w:val="false"/>
              </w:rPr>
            </w:pPr>
            <w:r>
              <w:rPr/>
              <w:t>ПКГ,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квалификационный уровень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Наименование должности, профессии рабочих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center"/>
              <w:rPr>
                <w:b w:val="false"/>
              </w:rPr>
            </w:pPr>
            <w:r>
              <w:rPr/>
              <w:t>Размер минимальных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(базовых) окладов (рубли)</w:t>
            </w:r>
          </w:p>
        </w:tc>
      </w:tr>
      <w:tr>
        <w:trPr/>
        <w:tc>
          <w:tcPr>
            <w:tcW w:w="9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Общеотраслевые профессии рабочих первого уровня</w:t>
            </w:r>
          </w:p>
        </w:tc>
      </w:tr>
      <w:tr>
        <w:trPr/>
        <w:tc>
          <w:tcPr>
            <w:tcW w:w="4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уровень: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наименования профессий рабочих, по которым предусмотрено присвоение 1, 2 и 3 квалификационных разрядов в соответствии с ЕТКС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сторож, уборщик служебных помещений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en-US" w:eastAsia="zh-CN" w:bidi="hi-IN"/>
              </w:rPr>
              <w:t>15581</w:t>
            </w: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,00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r>
          </w:p>
        </w:tc>
      </w:tr>
      <w:tr>
        <w:trPr/>
        <w:tc>
          <w:tcPr>
            <w:tcW w:w="46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рабочий по благоустройству, рабочий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en-US" w:eastAsia="zh-CN" w:bidi="hi-IN"/>
              </w:rPr>
              <w:t>22259</w:t>
            </w: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,00</w:t>
            </w:r>
          </w:p>
        </w:tc>
      </w:tr>
      <w:tr>
        <w:trPr/>
        <w:tc>
          <w:tcPr>
            <w:tcW w:w="46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электрогазосварщик, электромеханик, автослесарь, электрик, плотник, пильщик, столяр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</w:t>
            </w: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en-US" w:eastAsia="zh-CN" w:bidi="hi-IN"/>
              </w:rPr>
              <w:t>4485</w:t>
            </w: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,00</w:t>
            </w:r>
          </w:p>
        </w:tc>
      </w:tr>
      <w:tr>
        <w:trPr/>
        <w:tc>
          <w:tcPr>
            <w:tcW w:w="9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Общеотраслевые профессии рабочих второго уровня</w:t>
            </w:r>
          </w:p>
        </w:tc>
      </w:tr>
      <w:tr>
        <w:trPr/>
        <w:tc>
          <w:tcPr>
            <w:tcW w:w="4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уровень: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наименования профессий рабочих, по которым предусмотрено присвоение 4 и 5 квалификационных разрядов в соответствии с ЕТКС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водитель, тракторист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en-US" w:eastAsia="zh-CN" w:bidi="hi-IN"/>
              </w:rPr>
              <w:t>24485</w:t>
            </w: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,00</w:t>
            </w:r>
          </w:p>
        </w:tc>
      </w:tr>
      <w:tr>
        <w:trPr/>
        <w:tc>
          <w:tcPr>
            <w:tcW w:w="464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>
                <w:b w:val="false"/>
              </w:rPr>
              <w:t>электромонтёр</w:t>
            </w:r>
          </w:p>
        </w:tc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28937,00</w:t>
            </w:r>
          </w:p>
        </w:tc>
      </w:tr>
      <w:tr>
        <w:trPr/>
        <w:tc>
          <w:tcPr>
            <w:tcW w:w="46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водитель погрузчика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28937,00</w:t>
            </w:r>
          </w:p>
        </w:tc>
      </w:tr>
    </w:tbl>
    <w:p>
      <w:pPr>
        <w:pStyle w:val="ConsPlusNormal"/>
        <w:widowControl w:val="false"/>
        <w:bidi w:val="0"/>
        <w:ind w:left="0" w:firstLine="54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bidi w:val="0"/>
        <w:ind w:left="0" w:hanging="0"/>
        <w:jc w:val="center"/>
        <w:outlineLvl w:val="2"/>
        <w:rPr/>
      </w:pPr>
      <w:r>
        <w:rPr>
          <w:b/>
        </w:rPr>
        <w:t>II. ПКГ общеотраслевых должностей руководителей,</w:t>
      </w:r>
    </w:p>
    <w:p>
      <w:pPr>
        <w:pStyle w:val="ConsPlusNormal"/>
        <w:bidi w:val="0"/>
        <w:ind w:left="0" w:hanging="0"/>
        <w:jc w:val="center"/>
        <w:rPr/>
      </w:pPr>
      <w:r>
        <w:rPr>
          <w:b/>
        </w:rPr>
        <w:t>специалистов и служащих</w:t>
      </w:r>
    </w:p>
    <w:tbl>
      <w:tblPr>
        <w:tblW w:w="9585" w:type="dxa"/>
        <w:jc w:val="left"/>
        <w:tblInd w:w="1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29"/>
        <w:gridCol w:w="2685"/>
        <w:gridCol w:w="2371"/>
      </w:tblGrid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center"/>
              <w:rPr>
                <w:b w:val="false"/>
              </w:rPr>
            </w:pPr>
            <w:r>
              <w:rPr/>
              <w:t>ПКГ,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Наименование должности, профессии рабочих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center"/>
              <w:rPr>
                <w:b w:val="false"/>
              </w:rPr>
            </w:pPr>
            <w:r>
              <w:rPr/>
              <w:t>Размер минимальных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(базовых) окладов (рубли)</w:t>
            </w:r>
          </w:p>
        </w:tc>
      </w:tr>
      <w:tr>
        <w:trPr/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Общеотраслевые должности служащих второго уровня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диспетчер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24485,00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заведующий хозяйством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24485,00</w:t>
            </w:r>
          </w:p>
        </w:tc>
      </w:tr>
      <w:tr>
        <w:trPr/>
        <w:tc>
          <w:tcPr>
            <w:tcW w:w="45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 квалификационный уровень: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должности служащих 1 квалификационного уровня, по которым может устанавливаться производное должностное наименование "ведущий"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мастер, механик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26711,00</w:t>
            </w:r>
          </w:p>
        </w:tc>
      </w:tr>
      <w:tr>
        <w:trPr/>
        <w:tc>
          <w:tcPr>
            <w:tcW w:w="4529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ведущий специалист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24374,00</w:t>
            </w:r>
          </w:p>
        </w:tc>
      </w:tr>
      <w:tr>
        <w:trPr/>
        <w:tc>
          <w:tcPr>
            <w:tcW w:w="45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начальник участка благоустройства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44517,00</w:t>
            </w:r>
          </w:p>
        </w:tc>
      </w:tr>
      <w:tr>
        <w:trPr/>
        <w:tc>
          <w:tcPr>
            <w:tcW w:w="4529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начальник участка содержания автодорог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33388,00</w:t>
            </w:r>
          </w:p>
        </w:tc>
      </w:tr>
      <w:tr>
        <w:trPr/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Общеотраслевые должности служащих третьего уровня</w:t>
            </w:r>
          </w:p>
        </w:tc>
      </w:tr>
      <w:tr>
        <w:trPr/>
        <w:tc>
          <w:tcPr>
            <w:tcW w:w="4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специалист в сфере закупок, специалист по охране труда, бухгалтер по расчету заработной платы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24485,00</w:t>
            </w:r>
          </w:p>
        </w:tc>
      </w:tr>
      <w:tr>
        <w:trPr/>
        <w:tc>
          <w:tcPr>
            <w:tcW w:w="45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>
                <w:b w:val="false"/>
              </w:rPr>
              <w:t>инженер-электрик</w:t>
            </w:r>
          </w:p>
        </w:tc>
        <w:tc>
          <w:tcPr>
            <w:tcW w:w="2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44517,00</w:t>
            </w:r>
          </w:p>
        </w:tc>
      </w:tr>
      <w:tr>
        <w:trPr/>
        <w:tc>
          <w:tcPr>
            <w:tcW w:w="45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главный специалист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24485,00</w:t>
            </w:r>
          </w:p>
        </w:tc>
      </w:tr>
      <w:tr>
        <w:trPr/>
        <w:tc>
          <w:tcPr>
            <w:tcW w:w="4529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заместитель начальника отдела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26711,00</w:t>
            </w:r>
          </w:p>
        </w:tc>
      </w:tr>
      <w:tr>
        <w:trPr/>
        <w:tc>
          <w:tcPr>
            <w:tcW w:w="4529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заместитель начальника участка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28937,00</w:t>
            </w:r>
          </w:p>
        </w:tc>
      </w:tr>
      <w:tr>
        <w:trPr/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 w:val="false"/>
              </w:rPr>
            </w:pPr>
            <w:r>
              <w:rPr/>
              <w:t>Общеотраслевые должности служащих четвертого уровня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начальник отдела, заместитель главного бухгалтера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31162,00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главный механик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33388,00</w:t>
            </w:r>
          </w:p>
        </w:tc>
      </w:tr>
      <w:tr>
        <w:trPr/>
        <w:tc>
          <w:tcPr>
            <w:tcW w:w="4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>
                <w:b w:val="false"/>
              </w:rPr>
              <w:t>главный энергетик</w:t>
            </w:r>
          </w:p>
        </w:tc>
        <w:tc>
          <w:tcPr>
            <w:tcW w:w="2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66525,00</w:t>
            </w:r>
          </w:p>
        </w:tc>
      </w:tr>
    </w:tbl>
    <w:p>
      <w:pPr>
        <w:pStyle w:val="Normal"/>
        <w:jc w:val="center"/>
        <w:rPr>
          <w:b/>
          <w:sz w:val="26"/>
          <w:szCs w:val="26"/>
        </w:rPr>
      </w:pPr>
      <w:r>
        <w:rPr>
          <w:b/>
          <w:color w:val="000000"/>
          <w:sz w:val="26"/>
          <w:szCs w:val="26"/>
          <w:shd w:fill="FFFFFF" w:val="clear"/>
        </w:rPr>
        <w:t xml:space="preserve">                           </w:t>
      </w:r>
      <w:r>
        <w:rPr>
          <w:b/>
          <w:color w:val="000000"/>
          <w:sz w:val="26"/>
          <w:szCs w:val="26"/>
          <w:shd w:fill="FFFFFF" w:val="clear"/>
        </w:rPr>
        <w:t>II</w:t>
      </w:r>
      <w:r>
        <w:rPr>
          <w:b/>
          <w:color w:val="000000"/>
          <w:sz w:val="26"/>
          <w:szCs w:val="26"/>
          <w:shd w:fill="FFFFFF" w:val="clear"/>
          <w:lang w:val="en-US"/>
        </w:rPr>
        <w:t>I</w:t>
      </w:r>
      <w:r>
        <w:rPr>
          <w:b/>
          <w:i/>
          <w:color w:val="000000"/>
          <w:sz w:val="26"/>
          <w:szCs w:val="26"/>
          <w:shd w:fill="FFFFFF" w:val="clear"/>
        </w:rPr>
        <w:t xml:space="preserve">. </w:t>
      </w:r>
      <w:r>
        <w:rPr>
          <w:rFonts w:cs="Tms Rmn" w:ascii="Tms Rmn" w:hAnsi="Tms Rmn"/>
          <w:b/>
          <w:color w:val="000000"/>
          <w:sz w:val="26"/>
          <w:szCs w:val="26"/>
        </w:rPr>
        <w:t>Работники учреждения, занимающие должности, не включенные в профессиональные квалификационные группы</w:t>
      </w:r>
      <w:r>
        <w:rPr>
          <w:b/>
          <w:color w:val="000000"/>
          <w:sz w:val="26"/>
          <w:szCs w:val="26"/>
          <w:shd w:fill="FFFFFF" w:val="clear"/>
        </w:rPr>
        <w:t>:</w:t>
      </w:r>
    </w:p>
    <w:p>
      <w:pPr>
        <w:pStyle w:val="Normal"/>
        <w:rPr>
          <w:sz w:val="2"/>
          <w:szCs w:val="2"/>
          <w:lang w:val="en-US"/>
        </w:rPr>
      </w:pPr>
      <w:r>
        <w:rPr>
          <w:sz w:val="2"/>
          <w:szCs w:val="2"/>
          <w:lang w:val="en-US"/>
        </w:rPr>
      </w:r>
    </w:p>
    <w:tbl>
      <w:tblPr>
        <w:tblW w:w="9645" w:type="dxa"/>
        <w:jc w:val="left"/>
        <w:tblInd w:w="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0" w:noVBand="0" w:lastRow="0" w:firstColumn="0" w:lastColumn="0" w:noHBand="0" w:val="0000"/>
      </w:tblPr>
      <w:tblGrid>
        <w:gridCol w:w="6401"/>
        <w:gridCol w:w="3244"/>
      </w:tblGrid>
      <w:tr>
        <w:trPr>
          <w:trHeight w:val="23" w:hRule="atLeast"/>
        </w:trPr>
        <w:tc>
          <w:tcPr>
            <w:tcW w:w="6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hd w:val="clear" w:color="auto" w:fill="FFFFFF"/>
              <w:spacing w:before="0" w:after="20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shd w:fill="FFFFFF" w:val="clear"/>
              </w:rPr>
              <w:t>Наименование должности, профессии рабочих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40" w:type="dxa"/>
              <w:right w:w="40" w:type="dxa"/>
            </w:tcMar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shd w:fill="FFFFFF" w:val="clear"/>
                <w:lang w:eastAsia="ar-SA"/>
              </w:rPr>
              <w:t>Размер минимальных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20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shd w:fill="FFFFFF" w:val="clear"/>
                <w:lang w:eastAsia="ar-SA"/>
              </w:rPr>
              <w:t>(базовых) окладов (рули)</w:t>
            </w:r>
          </w:p>
        </w:tc>
      </w:tr>
      <w:tr>
        <w:trPr>
          <w:trHeight w:val="23" w:hRule="atLeast"/>
        </w:trPr>
        <w:tc>
          <w:tcPr>
            <w:tcW w:w="6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hd w:val="clear" w:color="auto" w:fill="FFFFFF"/>
              <w:spacing w:before="0" w:after="200"/>
              <w:jc w:val="center"/>
              <w:rPr>
                <w:color w:val="000000"/>
                <w:sz w:val="22"/>
                <w:szCs w:val="22"/>
                <w:shd w:fill="FFFFFF" w:val="clear"/>
              </w:rPr>
            </w:pPr>
            <w:r>
              <w:rPr>
                <w:color w:val="000000"/>
                <w:sz w:val="22"/>
                <w:szCs w:val="22"/>
                <w:shd w:fill="FFFFFF" w:val="clear"/>
              </w:rPr>
              <w:t xml:space="preserve">  </w:t>
            </w:r>
            <w:r>
              <w:rPr>
                <w:color w:val="000000"/>
                <w:sz w:val="22"/>
                <w:szCs w:val="22"/>
                <w:shd w:fill="FFFFFF" w:val="clear"/>
              </w:rPr>
              <w:t>инженер-электрик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40" w:type="dxa"/>
              <w:right w:w="40" w:type="dxa"/>
            </w:tcMar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color w:val="000000"/>
                <w:sz w:val="22"/>
                <w:szCs w:val="22"/>
                <w:shd w:fill="FFFFFF" w:val="clear"/>
                <w:lang w:eastAsia="ar-SA"/>
              </w:rPr>
            </w:pPr>
            <w:r>
              <w:rPr>
                <w:color w:val="000000"/>
                <w:sz w:val="22"/>
                <w:szCs w:val="22"/>
                <w:shd w:fill="FFFFFF" w:val="clear"/>
                <w:lang w:eastAsia="ar-SA"/>
              </w:rPr>
              <w:t>44 517,00</w:t>
            </w:r>
          </w:p>
        </w:tc>
      </w:tr>
    </w:tbl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ConsPlusNormal"/>
        <w:bidi w:val="0"/>
        <w:ind w:left="0" w:firstLine="540"/>
        <w:jc w:val="both"/>
        <w:rPr/>
      </w:pPr>
      <w:r>
        <w:rPr/>
      </w:r>
    </w:p>
    <w:p>
      <w:pPr>
        <w:pStyle w:val="ConsPlusNormal"/>
        <w:bidi w:val="0"/>
        <w:ind w:left="0" w:firstLine="54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bidi w:val="0"/>
        <w:spacing w:lineRule="auto" w:line="240" w:before="0" w:after="0"/>
        <w:ind w:left="0" w:hanging="0"/>
        <w:jc w:val="right"/>
        <w:outlineLvl w:val="1"/>
        <w:rPr>
          <w:b/>
          <w:bCs/>
        </w:rPr>
      </w:pPr>
      <w:r>
        <w:rPr>
          <w:b/>
          <w:bCs/>
        </w:rPr>
        <w:t>Приложение N 2</w:t>
      </w:r>
    </w:p>
    <w:p>
      <w:pPr>
        <w:pStyle w:val="ConsPlusNormal"/>
        <w:bidi w:val="0"/>
        <w:spacing w:lineRule="auto" w:line="240" w:before="0" w:after="29"/>
        <w:ind w:left="0" w:hanging="0"/>
        <w:jc w:val="right"/>
        <w:rPr/>
      </w:pPr>
      <w:r>
        <w:rPr/>
        <w:t>к Примерному положению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об оплате труда работников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муниципальных учреждений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Великого Новгорода, подведомственных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комитету по управлению городским</w:t>
      </w:r>
    </w:p>
    <w:p>
      <w:pPr>
        <w:pStyle w:val="ConsPlusNormal"/>
        <w:bidi w:val="0"/>
        <w:spacing w:lineRule="auto" w:line="240" w:before="0" w:after="0"/>
        <w:ind w:left="0" w:hanging="0"/>
        <w:jc w:val="right"/>
        <w:rPr/>
      </w:pPr>
      <w:r>
        <w:rPr/>
        <w:t>и дорожным хозяйством Администрации</w:t>
      </w:r>
    </w:p>
    <w:p>
      <w:pPr>
        <w:pStyle w:val="ConsPlusNormal"/>
        <w:bidi w:val="0"/>
        <w:spacing w:lineRule="auto" w:line="240"/>
        <w:ind w:left="0" w:hanging="0"/>
        <w:jc w:val="right"/>
        <w:rPr/>
      </w:pPr>
      <w:r>
        <w:rPr/>
        <w:t>Великого Новгорода</w:t>
      </w:r>
    </w:p>
    <w:p>
      <w:pPr>
        <w:pStyle w:val="ConsPlusNormal"/>
        <w:bidi w:val="0"/>
        <w:ind w:left="0" w:firstLine="540"/>
        <w:jc w:val="both"/>
        <w:rPr/>
      </w:pPr>
      <w:r>
        <w:rPr/>
      </w:r>
    </w:p>
    <w:p>
      <w:pPr>
        <w:pStyle w:val="ConsPlusNormal"/>
        <w:bidi w:val="0"/>
        <w:spacing w:lineRule="auto" w:line="240" w:before="0" w:after="29"/>
        <w:ind w:left="0" w:hanging="0"/>
        <w:jc w:val="center"/>
        <w:rPr/>
      </w:pPr>
      <w:bookmarkStart w:id="4" w:name="Par427"/>
      <w:bookmarkEnd w:id="4"/>
      <w:r>
        <w:rPr>
          <w:b/>
        </w:rPr>
        <w:t>МИНИМАЛЬНЫЕ (БАЗОВЫЕ) ОКЛАДЫ ДЛЯ РАБОТНИКОВ МУНИЦИПАЛЬНОГО</w:t>
      </w:r>
    </w:p>
    <w:p>
      <w:pPr>
        <w:pStyle w:val="ConsPlusNormal"/>
        <w:bidi w:val="0"/>
        <w:spacing w:lineRule="auto" w:line="240" w:before="0" w:after="0"/>
        <w:ind w:left="0" w:hanging="0"/>
        <w:jc w:val="center"/>
        <w:rPr/>
      </w:pPr>
      <w:r>
        <w:rPr>
          <w:b/>
        </w:rPr>
        <w:t>КАЗЕННОГО УЧРЕЖДЕНИЯ ВЕЛИКОГО НОВГОРОДА "СПЕЦИАЛИЗИРОВАННАЯ</w:t>
      </w:r>
    </w:p>
    <w:p>
      <w:pPr>
        <w:pStyle w:val="ConsPlusNormal"/>
        <w:bidi w:val="0"/>
        <w:spacing w:lineRule="auto" w:line="240"/>
        <w:ind w:left="0" w:hanging="0"/>
        <w:jc w:val="center"/>
        <w:rPr/>
      </w:pPr>
      <w:r>
        <w:rPr>
          <w:b/>
        </w:rPr>
        <w:t>СЛУЖБА ПО ВОПРОСАМ ПОХОРОННОГО ДЕЛА"</w:t>
      </w:r>
    </w:p>
    <w:p>
      <w:pPr>
        <w:pStyle w:val="ConsPlusNormal"/>
        <w:numPr>
          <w:ilvl w:val="0"/>
          <w:numId w:val="0"/>
        </w:numPr>
        <w:bidi w:val="0"/>
        <w:ind w:left="0" w:hanging="0"/>
        <w:jc w:val="center"/>
        <w:outlineLvl w:val="2"/>
        <w:rPr/>
      </w:pPr>
      <w:r>
        <w:rPr>
          <w:b/>
        </w:rPr>
        <w:t>I. ПКГ общеотраслевых должностей руководителей,</w:t>
      </w:r>
    </w:p>
    <w:p>
      <w:pPr>
        <w:pStyle w:val="ConsPlusNormal"/>
        <w:bidi w:val="0"/>
        <w:ind w:left="0" w:hanging="0"/>
        <w:jc w:val="center"/>
        <w:rPr/>
      </w:pPr>
      <w:r>
        <w:rPr>
          <w:b/>
        </w:rPr>
        <w:t>специалистов и служащих</w:t>
      </w:r>
    </w:p>
    <w:tbl>
      <w:tblPr>
        <w:tblW w:w="9585" w:type="dxa"/>
        <w:jc w:val="left"/>
        <w:tblInd w:w="1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29"/>
        <w:gridCol w:w="2685"/>
        <w:gridCol w:w="2371"/>
      </w:tblGrid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ПКГ,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Наименование должности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Размер минимальных (базовых) окладов (рубли)</w:t>
            </w:r>
          </w:p>
        </w:tc>
      </w:tr>
      <w:tr>
        <w:trPr/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 w:val="false"/>
              </w:rPr>
            </w:pPr>
            <w:r>
              <w:rPr/>
              <w:t>Общеотраслевые должности служащих второго уровня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left"/>
              <w:rPr>
                <w:b w:val="false"/>
              </w:rPr>
            </w:pPr>
            <w:r>
              <w:rPr/>
              <w:t>диспетчер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16187,05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lineRule="auto" w:line="24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квалификационный уровень:</w:t>
            </w:r>
          </w:p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 w:val="false"/>
              </w:rPr>
            </w:pPr>
            <w:r>
              <w:rPr/>
              <w:t>должности служащих 1 квалификационного уровня, по которым может устанавливаться производное должностное наименование "старший", должности служащих 1 квалификационного уровня, по которым устанавливается II внутридолжностная категория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left"/>
              <w:rPr>
                <w:b w:val="false"/>
              </w:rPr>
            </w:pPr>
            <w:r>
              <w:rPr/>
              <w:t>заведующий архивом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19837,24</w:t>
            </w:r>
          </w:p>
        </w:tc>
      </w:tr>
      <w:tr>
        <w:trPr/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numPr>
                <w:ilvl w:val="0"/>
                <w:numId w:val="0"/>
              </w:numPr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outlineLvl w:val="3"/>
              <w:rPr>
                <w:b w:val="false"/>
              </w:rPr>
            </w:pPr>
            <w:r>
              <w:rPr/>
              <w:t>Общеотраслевые должности служащих третьего уровня</w:t>
            </w:r>
          </w:p>
        </w:tc>
      </w:tr>
      <w:tr>
        <w:trPr/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квалификационный уровень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left"/>
              <w:rPr>
                <w:b w:val="false"/>
              </w:rPr>
            </w:pPr>
            <w:r>
              <w:rPr/>
              <w:t>бухгалтер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22815,49</w:t>
            </w:r>
          </w:p>
        </w:tc>
      </w:tr>
    </w:tbl>
    <w:p>
      <w:pPr>
        <w:pStyle w:val="ConsPlusNormal"/>
        <w:widowControl w:val="false"/>
        <w:bidi w:val="0"/>
        <w:ind w:left="0" w:firstLine="54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bidi w:val="0"/>
        <w:ind w:left="0" w:hanging="0"/>
        <w:jc w:val="center"/>
        <w:outlineLvl w:val="2"/>
        <w:rPr/>
      </w:pPr>
      <w:r>
        <w:rPr>
          <w:b/>
        </w:rPr>
        <w:t>II. Рекомендуемые размеры должностных окладов работников</w:t>
      </w:r>
    </w:p>
    <w:p>
      <w:pPr>
        <w:pStyle w:val="ConsPlusNormal"/>
        <w:bidi w:val="0"/>
        <w:ind w:left="0" w:hanging="0"/>
        <w:jc w:val="center"/>
        <w:rPr/>
      </w:pPr>
      <w:r>
        <w:rPr>
          <w:b/>
        </w:rPr>
        <w:t>учреждения, должности которых не отнесены к ПКГ</w:t>
      </w:r>
    </w:p>
    <w:tbl>
      <w:tblPr>
        <w:tblW w:w="9585" w:type="dxa"/>
        <w:jc w:val="left"/>
        <w:tblInd w:w="1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184"/>
        <w:gridCol w:w="5401"/>
      </w:tblGrid>
      <w:tr>
        <w:trPr/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Наименование должности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b w:val="false"/>
              </w:rPr>
            </w:pPr>
            <w:r>
              <w:rPr/>
              <w:t>Размер минимальных (базовых) окладов (рубли)</w:t>
            </w:r>
          </w:p>
        </w:tc>
      </w:tr>
      <w:tr>
        <w:trPr>
          <w:trHeight w:val="455" w:hRule="atLeast"/>
        </w:trPr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lineRule="auto" w:line="240" w:before="0" w:after="86"/>
              <w:ind w:left="0" w:hanging="0"/>
              <w:jc w:val="left"/>
              <w:rPr>
                <w:b w:val="false"/>
              </w:rPr>
            </w:pPr>
            <w:r>
              <w:rPr/>
              <w:t>Смотритель кладбища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bidi w:val="0"/>
              <w:spacing w:before="0" w:after="200"/>
              <w:ind w:left="0" w:hanging="0"/>
              <w:jc w:val="center"/>
              <w:rPr>
                <w:rFonts w:ascii="Arial" w:hAnsi="Arial" w:eastAsia="Arial" w:cs="Courier New"/>
                <w:b w:val="false"/>
                <w:i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</w:pPr>
            <w:r>
              <w:rPr>
                <w:rFonts w:eastAsia="Arial" w:cs="Courier New"/>
                <w:b w:val="false"/>
                <w:i w:val="false"/>
                <w:strike w:val="false"/>
                <w:dstrike w:val="false"/>
                <w:color w:val="auto"/>
                <w:kern w:val="2"/>
                <w:sz w:val="16"/>
                <w:szCs w:val="24"/>
                <w:u w:val="none"/>
                <w:lang w:val="ru-RU" w:eastAsia="zh-CN" w:bidi="hi-IN"/>
              </w:rPr>
              <w:t>16146,30</w:t>
            </w:r>
          </w:p>
        </w:tc>
      </w:tr>
    </w:tbl>
    <w:p>
      <w:pPr>
        <w:pStyle w:val="ConsPlusNormal"/>
        <w:widowControl w:val="false"/>
        <w:bidi w:val="0"/>
        <w:ind w:left="0" w:hanging="0"/>
        <w:jc w:val="both"/>
        <w:rPr/>
      </w:pPr>
      <w:r>
        <w:rPr/>
      </w:r>
    </w:p>
    <w:p>
      <w:pPr>
        <w:pStyle w:val="ConsPlusNormal"/>
        <w:widowControl w:val="false"/>
        <w:bidi w:val="0"/>
        <w:ind w:left="0" w:hanging="0"/>
        <w:jc w:val="both"/>
        <w:rPr/>
      </w:pPr>
      <w:r>
        <w:rPr/>
      </w:r>
    </w:p>
    <w:p>
      <w:pPr>
        <w:pStyle w:val="ConsPlusNormal"/>
        <w:widowControl w:val="false"/>
        <w:bidi w:val="0"/>
        <w:ind w:left="0" w:hanging="0"/>
        <w:jc w:val="both"/>
        <w:rPr/>
      </w:pPr>
      <w:r>
        <w:rPr/>
      </w:r>
    </w:p>
    <w:p>
      <w:pPr>
        <w:pStyle w:val="ConsPlusNormal"/>
        <w:widowControl w:val="false"/>
        <w:bidi w:val="0"/>
        <w:ind w:left="0" w:hanging="0"/>
        <w:jc w:val="both"/>
        <w:rPr/>
      </w:pPr>
      <w:r>
        <w:rPr/>
      </w:r>
    </w:p>
    <w:p>
      <w:pPr>
        <w:pStyle w:val="ConsPlusNormal"/>
        <w:widowControl w:val="false"/>
        <w:bidi w:val="0"/>
        <w:ind w:left="0" w:hanging="0"/>
        <w:jc w:val="both"/>
        <w:rPr>
          <w:rStyle w:val="Style15"/>
          <w:rFonts w:ascii="Arial" w:hAnsi="Arial" w:eastAsia="Arial" w:cs="Courier New"/>
          <w:b w:val="false"/>
          <w:i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</w:pPr>
      <w:r>
        <w:rPr>
          <w:rFonts w:eastAsia="Arial" w:cs="Courier New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</w:r>
    </w:p>
    <w:p>
      <w:pPr>
        <w:pStyle w:val="Normal"/>
        <w:ind w:left="0" w:right="0" w:firstLine="720"/>
        <w:jc w:val="right"/>
        <w:rPr>
          <w:rStyle w:val="Style15"/>
          <w:rFonts w:ascii="Arial" w:hAnsi="Arial" w:eastAsia="Arial" w:cs="Courier New"/>
          <w:b w:val="false"/>
          <w:i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</w:pPr>
      <w:r>
        <w:rPr/>
      </w:r>
    </w:p>
    <w:p>
      <w:pPr>
        <w:pStyle w:val="Normal"/>
        <w:ind w:left="0" w:right="0" w:firstLine="720"/>
        <w:jc w:val="right"/>
        <w:rPr>
          <w:rStyle w:val="Style15"/>
          <w:rFonts w:ascii="Arial" w:hAnsi="Arial" w:eastAsia="Arial" w:cs="Courier New"/>
          <w:b w:val="false"/>
          <w:i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</w:pPr>
      <w:r>
        <w:rPr/>
      </w:r>
    </w:p>
    <w:p>
      <w:pPr>
        <w:pStyle w:val="Normal"/>
        <w:ind w:left="0" w:right="0" w:firstLine="720"/>
        <w:jc w:val="right"/>
        <w:rPr/>
      </w:pPr>
      <w:bookmarkStart w:id="5" w:name="sub_1000"/>
      <w:bookmarkEnd w:id="5"/>
      <w:r>
        <w:rPr>
          <w:rStyle w:val="Style15"/>
          <w:rFonts w:eastAsia="Arial" w:cs="Courier New" w:ascii="Arial" w:hAnsi="Arial"/>
          <w:b/>
          <w:bCs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>Приложение N 3</w:t>
      </w:r>
      <w:r>
        <w:rPr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br/>
      </w:r>
      <w:r>
        <w:rPr>
          <w:rStyle w:val="Style15"/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 xml:space="preserve">к </w:t>
      </w:r>
      <w:hyperlink w:anchor="sub_10000">
        <w:r>
          <w:rPr>
            <w:rFonts w:eastAsia="Arial" w:cs="Courier New" w:ascii="Arial" w:hAnsi="Arial"/>
            <w:b w:val="false"/>
            <w:i w:val="false"/>
            <w:strike w:val="false"/>
            <w:dstrike w:val="false"/>
            <w:color w:val="auto"/>
            <w:kern w:val="2"/>
            <w:sz w:val="16"/>
            <w:szCs w:val="24"/>
            <w:u w:val="none"/>
            <w:lang w:val="ru-RU" w:eastAsia="zh-CN" w:bidi="hi-IN"/>
          </w:rPr>
          <w:t>Примерному положению</w:t>
        </w:r>
      </w:hyperlink>
      <w:r>
        <w:rPr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br/>
      </w:r>
      <w:r>
        <w:rPr>
          <w:rStyle w:val="Style15"/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>об оплате труда работников</w:t>
      </w:r>
      <w:r>
        <w:rPr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br/>
      </w:r>
      <w:r>
        <w:rPr>
          <w:rStyle w:val="Style15"/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>муниципальных учреждений Великого</w:t>
      </w:r>
      <w:r>
        <w:rPr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br/>
      </w:r>
      <w:r>
        <w:rPr>
          <w:rStyle w:val="Style15"/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>Новгорода, подведомственных комитету по</w:t>
      </w:r>
      <w:r>
        <w:rPr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br/>
      </w:r>
      <w:r>
        <w:rPr>
          <w:rStyle w:val="Style15"/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>управлению городским и дорожным хозяйством</w:t>
      </w:r>
      <w:r>
        <w:rPr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br/>
      </w:r>
      <w:r>
        <w:rPr>
          <w:rStyle w:val="Style15"/>
          <w:rFonts w:eastAsia="Arial" w:cs="Courier New" w:ascii="Arial" w:hAnsi="Arial"/>
          <w:b w:val="false"/>
          <w:i w:val="false"/>
          <w:strike w:val="false"/>
          <w:dstrike w:val="false"/>
          <w:color w:val="auto"/>
          <w:kern w:val="2"/>
          <w:sz w:val="16"/>
          <w:szCs w:val="24"/>
          <w:u w:val="none"/>
          <w:lang w:val="ru-RU" w:eastAsia="zh-CN" w:bidi="hi-IN"/>
        </w:rPr>
        <w:t>Администрации Великого Новгорода</w:t>
      </w:r>
    </w:p>
    <w:p>
      <w:pPr>
        <w:pStyle w:val="1"/>
        <w:ind w:left="0" w:right="0" w:hanging="0"/>
        <w:rPr>
          <w:sz w:val="20"/>
          <w:szCs w:val="20"/>
        </w:rPr>
      </w:pPr>
      <w:bookmarkStart w:id="6" w:name="sub_101"/>
      <w:bookmarkEnd w:id="6"/>
      <w:r>
        <w:rPr>
          <w:rFonts w:ascii="Arial" w:hAnsi="Arial"/>
          <w:color w:val="000000"/>
          <w:sz w:val="20"/>
          <w:szCs w:val="20"/>
        </w:rPr>
        <w:t>Минимальные (базовые) оклады для работников муниципального бюджетного учреждения Великого Новгорода "Теплоэнерго"</w:t>
      </w:r>
    </w:p>
    <w:p>
      <w:pPr>
        <w:pStyle w:val="1"/>
        <w:ind w:left="0" w:right="0" w:hanging="0"/>
        <w:rPr>
          <w:sz w:val="20"/>
          <w:szCs w:val="20"/>
        </w:rPr>
      </w:pPr>
      <w:bookmarkStart w:id="7" w:name="sub_1001"/>
      <w:bookmarkEnd w:id="7"/>
      <w:r>
        <w:rPr>
          <w:rFonts w:ascii="Arial" w:hAnsi="Arial"/>
          <w:color w:val="000000"/>
          <w:sz w:val="20"/>
          <w:szCs w:val="20"/>
        </w:rPr>
        <w:t>I. ПКГ общеотраслевых профессий рабочих</w:t>
      </w:r>
    </w:p>
    <w:tbl>
      <w:tblPr>
        <w:tblW w:w="9585" w:type="dxa"/>
        <w:jc w:val="left"/>
        <w:tblInd w:w="1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5"/>
        <w:gridCol w:w="3210"/>
        <w:gridCol w:w="3360"/>
      </w:tblGrid>
      <w:tr>
        <w:trPr/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0"/>
              <w:ind w:left="0" w:right="0" w:hanging="0"/>
              <w:jc w:val="center"/>
              <w:rPr/>
            </w:pPr>
            <w:hyperlink r:id="rId6">
              <w:r>
                <w:rPr>
                  <w:rFonts w:eastAsia="Times New Roman"/>
                  <w:b w:val="false"/>
                  <w:bCs w:val="false"/>
                  <w:color w:val="000000"/>
                  <w:sz w:val="20"/>
                  <w:szCs w:val="20"/>
                </w:rPr>
                <w:t>ПКГ</w:t>
              </w:r>
            </w:hyperlink>
            <w:r>
              <w:rPr>
                <w:color w:val="000000"/>
                <w:sz w:val="20"/>
                <w:szCs w:val="20"/>
              </w:rPr>
              <w:t>,</w:t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квалификационный уровень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должности, профессии рабочих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Размер минимальных</w:t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(базовых) окладов (рубли)</w:t>
            </w:r>
          </w:p>
        </w:tc>
      </w:tr>
      <w:tr>
        <w:trPr>
          <w:trHeight w:val="394" w:hRule="atLeast"/>
        </w:trPr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0"/>
              <w:ind w:left="0" w:right="0" w:hanging="0"/>
              <w:jc w:val="center"/>
              <w:rPr/>
            </w:pPr>
            <w:hyperlink r:id="rId7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Общеотраслевые профессии рабочих первого уровня</w:t>
              </w:r>
            </w:hyperlink>
          </w:p>
        </w:tc>
      </w:tr>
      <w:tr>
        <w:trPr>
          <w:trHeight w:val="1687" w:hRule="atLeast"/>
        </w:trPr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0"/>
              <w:ind w:left="0" w:right="0" w:hanging="0"/>
              <w:rPr/>
            </w:pPr>
            <w:hyperlink r:id="rId8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1 квалификационный уровень</w:t>
              </w:r>
            </w:hyperlink>
            <w:r>
              <w:rPr>
                <w:color w:val="000000"/>
                <w:sz w:val="20"/>
                <w:szCs w:val="20"/>
              </w:rPr>
              <w:t>:</w:t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lineRule="auto" w:line="240"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наименования профессий рабочих, по которым предусмотрено присвоение 1, 2 и 3 квалификационных разрядов в соответствии с ЕТКС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уборщик служебных помещений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11 760,00</w:t>
            </w:r>
          </w:p>
        </w:tc>
      </w:tr>
      <w:tr>
        <w:trPr/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jc w:val="center"/>
              <w:rPr/>
            </w:pPr>
            <w:hyperlink r:id="rId9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Общеотраслевые профессии рабочих второго уровня</w:t>
              </w:r>
            </w:hyperlink>
          </w:p>
        </w:tc>
      </w:tr>
      <w:tr>
        <w:trPr/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0"/>
              <w:ind w:left="0" w:right="0" w:hanging="0"/>
              <w:rPr/>
            </w:pPr>
            <w:hyperlink r:id="rId10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1 квалификационный уровень</w:t>
              </w:r>
            </w:hyperlink>
            <w:r>
              <w:rPr>
                <w:color w:val="000000"/>
                <w:sz w:val="20"/>
                <w:szCs w:val="20"/>
              </w:rPr>
              <w:t>:</w:t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lineRule="auto" w:line="240" w:before="0" w:after="200"/>
              <w:ind w:left="0" w:right="0" w:hanging="0"/>
              <w:rPr/>
            </w:pPr>
            <w:r>
              <w:rPr>
                <w:color w:val="000000"/>
                <w:sz w:val="20"/>
                <w:szCs w:val="20"/>
              </w:rPr>
              <w:t>наименования профессий рабочих, по которым предусмотрено присвоение 4 и 5 квалификационных разрядов в соответствии с ЕТКС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водитель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18 710,00</w:t>
            </w:r>
          </w:p>
        </w:tc>
      </w:tr>
    </w:tbl>
    <w:p>
      <w:pPr>
        <w:pStyle w:val="1"/>
        <w:widowControl w:val="false"/>
        <w:spacing w:before="51" w:after="51"/>
        <w:ind w:left="0" w:right="0" w:hanging="0"/>
        <w:rPr>
          <w:sz w:val="20"/>
          <w:szCs w:val="20"/>
        </w:rPr>
      </w:pPr>
      <w:r>
        <w:rPr>
          <w:color w:val="000000"/>
          <w:sz w:val="20"/>
          <w:szCs w:val="20"/>
        </w:rPr>
        <w:t>II. ПКГ общеотраслевых должностей руководителей, специалистов и служащих</w:t>
      </w:r>
    </w:p>
    <w:tbl>
      <w:tblPr>
        <w:tblW w:w="9513" w:type="dxa"/>
        <w:jc w:val="left"/>
        <w:tblInd w:w="1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5"/>
        <w:gridCol w:w="3210"/>
        <w:gridCol w:w="3288"/>
      </w:tblGrid>
      <w:tr>
        <w:trPr/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jc w:val="center"/>
              <w:rPr/>
            </w:pPr>
            <w:hyperlink r:id="rId11">
              <w:r>
                <w:rPr>
                  <w:rFonts w:eastAsia="Times New Roman"/>
                  <w:b w:val="false"/>
                  <w:bCs w:val="false"/>
                  <w:color w:val="000000"/>
                  <w:sz w:val="20"/>
                  <w:szCs w:val="20"/>
                </w:rPr>
                <w:t>ПКГ</w:t>
              </w:r>
            </w:hyperlink>
            <w:r>
              <w:rPr>
                <w:b w:val="false"/>
                <w:bCs w:val="false"/>
                <w:color w:val="000000"/>
                <w:sz w:val="20"/>
                <w:szCs w:val="20"/>
              </w:rPr>
              <w:t>, квалификационный уровень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86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должности, профессии рабочих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Размер минимальных</w:t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(базовых) окладов (рубли)</w:t>
            </w:r>
          </w:p>
        </w:tc>
      </w:tr>
      <w:tr>
        <w:trPr/>
        <w:tc>
          <w:tcPr>
            <w:tcW w:w="9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jc w:val="center"/>
              <w:rPr/>
            </w:pPr>
            <w:hyperlink r:id="rId12">
              <w:bookmarkStart w:id="8" w:name="sub_10022"/>
              <w:bookmarkEnd w:id="8"/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Общеотраслевые должности служащих второго уровня</w:t>
              </w:r>
            </w:hyperlink>
          </w:p>
        </w:tc>
      </w:tr>
      <w:tr>
        <w:trPr/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/>
            </w:pPr>
            <w:hyperlink r:id="rId13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1 квалификационный уровень</w:t>
              </w:r>
            </w:hyperlink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Инспектор отдела кадров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22 470,00</w:t>
            </w:r>
          </w:p>
        </w:tc>
      </w:tr>
      <w:tr>
        <w:trPr/>
        <w:tc>
          <w:tcPr>
            <w:tcW w:w="9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jc w:val="center"/>
              <w:rPr/>
            </w:pPr>
            <w:hyperlink r:id="rId14">
              <w:bookmarkStart w:id="9" w:name="sub_10023"/>
              <w:bookmarkEnd w:id="9"/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Общеотраслевые должности служащих третьего уровня</w:t>
              </w:r>
            </w:hyperlink>
          </w:p>
        </w:tc>
      </w:tr>
      <w:tr>
        <w:trPr/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lineRule="auto" w:line="240" w:before="0" w:after="0"/>
              <w:ind w:left="0" w:right="0" w:hanging="0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4 квалификационный уровень: </w:t>
            </w:r>
            <w:r>
              <w:rPr>
                <w:b w:val="false"/>
                <w:bCs w:val="false"/>
                <w:color w:val="000000"/>
                <w:sz w:val="20"/>
                <w:szCs w:val="20"/>
              </w:rPr>
              <w:t>должности служащих 1 квалификационного уровня, по которым может устанавливаться производное должностное наименование "ведущий"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Ведущий юрисконсульт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ind w:left="0" w:right="0" w:firstLine="7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26 650,00</w:t>
            </w:r>
          </w:p>
        </w:tc>
      </w:tr>
      <w:tr>
        <w:trPr/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0"/>
              <w:ind w:left="0" w:right="0" w:hanging="0"/>
              <w:rPr/>
            </w:pPr>
            <w:hyperlink r:id="rId15">
              <w:bookmarkStart w:id="10" w:name="sub_10235"/>
              <w:bookmarkEnd w:id="10"/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5 квалификационный уровень</w:t>
              </w:r>
            </w:hyperlink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Главный инженер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36 210,00</w:t>
            </w:r>
          </w:p>
        </w:tc>
      </w:tr>
      <w:tr>
        <w:trPr/>
        <w:tc>
          <w:tcPr>
            <w:tcW w:w="3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0"/>
              <w:ind w:left="0" w:right="0" w:hanging="0"/>
              <w:rPr/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6</w:t>
            </w:r>
            <w:hyperlink r:id="rId16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 xml:space="preserve"> квалификационный</w:t>
              </w:r>
            </w:hyperlink>
          </w:p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/>
            </w:pPr>
            <w:hyperlink r:id="rId17"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 xml:space="preserve"> </w:t>
              </w:r>
              <w:r>
                <w:rPr>
                  <w:rFonts w:eastAsia="Times New Roman"/>
                  <w:b/>
                  <w:color w:val="000000"/>
                  <w:sz w:val="20"/>
                  <w:szCs w:val="20"/>
                </w:rPr>
                <w:t>уровень</w:t>
              </w:r>
            </w:hyperlink>
          </w:p>
        </w:tc>
        <w:tc>
          <w:tcPr>
            <w:tcW w:w="3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Главный бухгалтер</w:t>
            </w:r>
          </w:p>
        </w:tc>
        <w:tc>
          <w:tcPr>
            <w:tcW w:w="32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36 210,00</w:t>
            </w:r>
          </w:p>
        </w:tc>
      </w:tr>
      <w:tr>
        <w:trPr/>
        <w:tc>
          <w:tcPr>
            <w:tcW w:w="951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  <w:r>
              <w:rPr>
                <w:b/>
                <w:bCs/>
                <w:sz w:val="20"/>
                <w:szCs w:val="20"/>
              </w:rPr>
              <w:t>ПКГ «Средний медицинский и фармацевтический персонал»</w:t>
            </w:r>
          </w:p>
        </w:tc>
      </w:tr>
      <w:tr>
        <w:trPr/>
        <w:tc>
          <w:tcPr>
            <w:tcW w:w="3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9"/>
              <w:ind w:left="0" w:right="0" w:hanging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квалификационный уровень</w:t>
            </w:r>
          </w:p>
        </w:tc>
        <w:tc>
          <w:tcPr>
            <w:tcW w:w="3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Медицинская сестра</w:t>
            </w:r>
          </w:p>
        </w:tc>
        <w:tc>
          <w:tcPr>
            <w:tcW w:w="32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widowControl w:val="false"/>
              <w:tabs>
                <w:tab w:val="clear" w:pos="720"/>
              </w:tabs>
              <w:spacing w:before="0" w:after="20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14895,00</w:t>
            </w:r>
          </w:p>
        </w:tc>
      </w:tr>
    </w:tbl>
    <w:p>
      <w:pPr>
        <w:pStyle w:val="Normal"/>
        <w:widowControl w:val="false"/>
        <w:spacing w:before="0" w:after="200"/>
        <w:ind w:left="0" w:right="0" w:firstLine="720"/>
        <w:rPr>
          <w:sz w:val="20"/>
          <w:szCs w:val="20"/>
        </w:rPr>
      </w:pPr>
      <w:r>
        <w:rPr>
          <w:sz w:val="20"/>
          <w:szCs w:val="20"/>
        </w:rPr>
      </w:r>
    </w:p>
    <w:sectPr>
      <w:headerReference w:type="default" r:id="rId18"/>
      <w:headerReference w:type="first" r:id="rId19"/>
      <w:type w:val="nextPage"/>
      <w:pgSz w:w="11906" w:h="16838"/>
      <w:pgMar w:left="1701" w:right="567" w:gutter="0" w:header="567" w:top="1134" w:footer="0" w:bottom="1134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7</w:t>
    </w:r>
    <w:r>
      <w:rPr>
        <w:sz w:val="24"/>
        <w:szCs w:val="24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qFormat/>
    <w:pPr>
      <w:spacing w:before="108" w:after="108"/>
      <w:ind w:hanging="0"/>
      <w:jc w:val="center"/>
    </w:pPr>
    <w:rPr>
      <w:b/>
      <w:color w:val="26282F"/>
      <w:lang w:eastAsia="ar-SA"/>
    </w:rPr>
  </w:style>
  <w:style w:type="paragraph" w:styleId="2">
    <w:name w:val="Heading 2"/>
    <w:basedOn w:val="Style17"/>
    <w:next w:val="Style18"/>
    <w:qFormat/>
    <w:pPr>
      <w:spacing w:before="200" w:after="12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3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4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-">
    <w:name w:val="Hyperlink"/>
    <w:rPr>
      <w:color w:val="000080"/>
      <w:u w:val="single"/>
      <w:lang w:val="zxx" w:eastAsia="zxx" w:bidi="zxx"/>
    </w:rPr>
  </w:style>
  <w:style w:type="character" w:styleId="Style15">
    <w:name w:val="Цветовое выделение"/>
    <w:qFormat/>
    <w:rPr>
      <w:b/>
      <w:color w:val="26282F"/>
    </w:rPr>
  </w:style>
  <w:style w:type="character" w:styleId="Style16">
    <w:name w:val="Гипертекстовая ссылка"/>
    <w:basedOn w:val="Style15"/>
    <w:qFormat/>
    <w:rPr>
      <w:rFonts w:ascii="Times New Roman" w:hAnsi="Times New Roman" w:eastAsia="Times New Roman" w:cs="Times New Roman"/>
      <w:color w:val="106BBE"/>
      <w:sz w:val="24"/>
      <w:szCs w:val="24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Ari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8e5b62"/>
    <w:pPr>
      <w:spacing w:before="0" w:after="200"/>
      <w:ind w:left="720" w:hanging="0"/>
      <w:contextualSpacing/>
    </w:pPr>
    <w:rPr/>
  </w:style>
  <w:style w:type="paragraph" w:styleId="11" w:customStyle="1">
    <w:name w:val="Текст1"/>
    <w:basedOn w:val="Normal"/>
    <w:qFormat/>
    <w:rsid w:val="002c2e68"/>
    <w:pPr>
      <w:suppressAutoHyphens w:val="true"/>
      <w:spacing w:lineRule="auto" w:line="240" w:before="0" w:after="0"/>
    </w:pPr>
    <w:rPr>
      <w:rFonts w:ascii="Courier New" w:hAnsi="Courier New" w:cs="Courier New"/>
      <w:sz w:val="20"/>
      <w:szCs w:val="20"/>
      <w:lang w:eastAsia="zh-CN"/>
    </w:rPr>
  </w:style>
  <w:style w:type="paragraph" w:styleId="ConsPlusNormal">
    <w:name w:val="ConsPlusNormal"/>
    <w:qFormat/>
    <w:pPr>
      <w:widowControl w:val="false"/>
      <w:suppressAutoHyphens w:val="true"/>
      <w:bidi w:val="0"/>
      <w:spacing w:lineRule="auto" w:line="276" w:before="0" w:after="200"/>
      <w:jc w:val="left"/>
    </w:pPr>
    <w:rPr>
      <w:rFonts w:ascii="Arial" w:hAnsi="Arial" w:eastAsia="Liberation Serif" w:cs="Liberation Serif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hi-I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b/>
      <w:color w:val="auto"/>
      <w:kern w:val="0"/>
      <w:sz w:val="20"/>
      <w:szCs w:val="20"/>
      <w:lang w:val="ru-RU" w:eastAsia="ru-RU" w:bidi="ar-SA"/>
    </w:rPr>
  </w:style>
  <w:style w:type="paragraph" w:styleId="Style26">
    <w:name w:val="Нормальный (таблица)"/>
    <w:basedOn w:val="Normal"/>
    <w:qFormat/>
    <w:pPr>
      <w:ind w:hanging="0"/>
    </w:pPr>
    <w:rPr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RLAW154&amp;n=110178&amp;dst=100005" TargetMode="External"/><Relationship Id="rId4" Type="http://schemas.openxmlformats.org/officeDocument/2006/relationships/hyperlink" Target="https://login.consultant.ru/link/?req=doc&amp;base=RLAW154&amp;n=110178&amp;dst=100005" TargetMode="External"/><Relationship Id="rId5" Type="http://schemas.openxmlformats.org/officeDocument/2006/relationships/hyperlink" Target="consultantplus://offline/ref=C3EDF762C0CCE8C42AA83C7B57706615B4A173DAA236A0FFAD50E9319B2D5BBDD607963B67564591D7D841C9B942267E6291A459358349FDEF072At74AI" TargetMode="External"/><Relationship Id="rId6" Type="http://schemas.openxmlformats.org/officeDocument/2006/relationships/hyperlink" Target="http://ivo.garant.ru/document/redirect/193507/1000" TargetMode="External"/><Relationship Id="rId7" Type="http://schemas.openxmlformats.org/officeDocument/2006/relationships/hyperlink" Target="http://ivo.garant.ru/document/redirect/193507/1100" TargetMode="External"/><Relationship Id="rId8" Type="http://schemas.openxmlformats.org/officeDocument/2006/relationships/hyperlink" Target="http://ivo.garant.ru/document/redirect/193507/1101" TargetMode="External"/><Relationship Id="rId9" Type="http://schemas.openxmlformats.org/officeDocument/2006/relationships/hyperlink" Target="http://ivo.garant.ru/document/redirect/193507/1200" TargetMode="External"/><Relationship Id="rId10" Type="http://schemas.openxmlformats.org/officeDocument/2006/relationships/hyperlink" Target="http://ivo.garant.ru/document/redirect/193507/1201" TargetMode="External"/><Relationship Id="rId11" Type="http://schemas.openxmlformats.org/officeDocument/2006/relationships/hyperlink" Target="http://ivo.garant.ru/document/redirect/193459/1000" TargetMode="External"/><Relationship Id="rId12" Type="http://schemas.openxmlformats.org/officeDocument/2006/relationships/hyperlink" Target="http://ivo.garant.ru/document/redirect/193459/1200" TargetMode="External"/><Relationship Id="rId13" Type="http://schemas.openxmlformats.org/officeDocument/2006/relationships/hyperlink" Target="http://ivo.garant.ru/document/redirect/193459/1201" TargetMode="External"/><Relationship Id="rId14" Type="http://schemas.openxmlformats.org/officeDocument/2006/relationships/hyperlink" Target="http://ivo.garant.ru/document/redirect/193459/1300" TargetMode="External"/><Relationship Id="rId15" Type="http://schemas.openxmlformats.org/officeDocument/2006/relationships/hyperlink" Target="http://ivo.garant.ru/document/redirect/193459/1305" TargetMode="External"/><Relationship Id="rId16" Type="http://schemas.openxmlformats.org/officeDocument/2006/relationships/hyperlink" Target="http://ivo.garant.ru/document/redirect/193459/1305" TargetMode="External"/><Relationship Id="rId17" Type="http://schemas.openxmlformats.org/officeDocument/2006/relationships/hyperlink" Target="http://ivo.garant.ru/document/redirect/193459/1305" TargetMode="External"/><Relationship Id="rId18" Type="http://schemas.openxmlformats.org/officeDocument/2006/relationships/header" Target="header1.xml"/><Relationship Id="rId19" Type="http://schemas.openxmlformats.org/officeDocument/2006/relationships/header" Target="header2.xml"/><Relationship Id="rId20" Type="http://schemas.openxmlformats.org/officeDocument/2006/relationships/fontTable" Target="fontTable.xml"/><Relationship Id="rId21" Type="http://schemas.openxmlformats.org/officeDocument/2006/relationships/settings" Target="settings.xml"/><Relationship Id="rId22" Type="http://schemas.openxmlformats.org/officeDocument/2006/relationships/theme" Target="theme/theme1.xml"/><Relationship Id="rId2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F3847-A9DF-435E-AB95-C09A6399B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1905</TotalTime>
  <Application>LibreOffice/7.5.5.2$Windows_X86_64 LibreOffice_project/ca8fe7424262805f223b9a2334bc7181abbcbf5e</Application>
  <AppVersion>15.0000</AppVersion>
  <Pages>7</Pages>
  <Words>1190</Words>
  <Characters>8998</Characters>
  <CharactersWithSpaces>10062</CharactersWithSpaces>
  <Paragraphs>207</Paragraphs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dc:description/>
  <dc:language>ru-RU</dc:language>
  <cp:lastModifiedBy/>
  <cp:lastPrinted>2024-10-14T12:32:14Z</cp:lastPrinted>
  <dcterms:modified xsi:type="dcterms:W3CDTF">2025-10-22T16:14:38Z</dcterms:modified>
  <cp:revision>99</cp:revision>
  <dc:subject/>
  <dc:title>Постановление Администрации Великого Новгорода от 23.03.2023 N 1308(ред. от 02.02.2024)"Об утверждении Порядка предоставления субсидии из бюджета Великого Новгорода на финансовое обеспечение затрат по содержанию комплексов, расположенных в парках, скверах и исторической части Великого Новгорода и обеспечивающих предоставление санитарно-гигиенических услуг, муниципальным унитарным предприятиям, осуществляющим услуги по аварийно-восстановительным работам внутренних инженерных сетей предприятий и организаций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