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shd w:fill="FFFFFF" w:val="clear"/>
        </w:rPr>
      </w:pPr>
      <w:r>
        <w:rPr/>
        <w:drawing>
          <wp:inline distT="0" distB="0" distL="0" distR="0">
            <wp:extent cx="685800" cy="857250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  <w:shd w:fill="FFFFFF" w:val="clear"/>
        </w:rPr>
        <w:t xml:space="preserve"> </w:t>
      </w:r>
    </w:p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shd w:fill="FFFFFF" w:val="clear"/>
        </w:rPr>
      </w:pPr>
      <w:r>
        <w:rPr>
          <w:b/>
          <w:bCs/>
          <w:color w:val="000000"/>
          <w:sz w:val="26"/>
          <w:szCs w:val="26"/>
          <w:shd w:fill="FFFFFF" w:val="clear"/>
        </w:rPr>
        <w:t>Новгородская область</w:t>
      </w:r>
    </w:p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b/>
          <w:b/>
          <w:bCs/>
          <w:color w:val="000000"/>
          <w:sz w:val="26"/>
          <w:szCs w:val="26"/>
          <w:shd w:fill="FFFFFF" w:val="clear"/>
        </w:rPr>
      </w:pPr>
      <w:r>
        <w:rPr>
          <w:b/>
          <w:bCs/>
          <w:color w:val="000000"/>
          <w:sz w:val="26"/>
          <w:szCs w:val="26"/>
          <w:shd w:fill="FFFFFF" w:val="clear"/>
        </w:rPr>
      </w:r>
    </w:p>
    <w:p>
      <w:pPr>
        <w:pStyle w:val="Normal"/>
        <w:widowControl w:val="false"/>
        <w:spacing w:lineRule="auto" w:line="240" w:before="0" w:after="120"/>
        <w:ind w:left="-1701" w:right="-851" w:hanging="0"/>
        <w:jc w:val="center"/>
        <w:rPr>
          <w:shd w:fill="FFFFFF" w:val="clear"/>
        </w:rPr>
      </w:pPr>
      <w:r>
        <w:rPr>
          <w:b/>
          <w:bCs/>
          <w:color w:val="000000"/>
          <w:sz w:val="32"/>
          <w:szCs w:val="32"/>
          <w:shd w:fill="FFFFFF" w:val="clear"/>
        </w:rPr>
        <w:t>Администрация Великого Новгорода</w:t>
      </w:r>
    </w:p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shd w:fill="FFFFFF" w:val="clear"/>
        </w:rPr>
      </w:pPr>
      <w:r>
        <w:rPr>
          <w:b/>
          <w:bCs/>
          <w:color w:val="000000"/>
          <w:sz w:val="40"/>
          <w:szCs w:val="40"/>
          <w:shd w:fill="FFFFFF" w:val="clear"/>
        </w:rPr>
        <w:t>ПРОЕКТ</w:t>
      </w:r>
    </w:p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shd w:fill="FFFFFF" w:val="clear"/>
        </w:rPr>
      </w:pPr>
      <w:r>
        <w:rPr>
          <w:b/>
          <w:bCs/>
          <w:color w:val="000000"/>
          <w:sz w:val="40"/>
          <w:szCs w:val="40"/>
          <w:shd w:fill="FFFFFF" w:val="clear"/>
        </w:rPr>
        <w:t>П О С Т А Н О В Л Е Н И Е</w:t>
      </w:r>
    </w:p>
    <w:p>
      <w:pPr>
        <w:pStyle w:val="Normal"/>
        <w:widowControl w:val="false"/>
        <w:tabs>
          <w:tab w:val="clear" w:pos="720"/>
          <w:tab w:val="left" w:pos="1890" w:leader="none"/>
        </w:tabs>
        <w:spacing w:lineRule="auto" w:line="240" w:before="0" w:after="0"/>
        <w:rPr>
          <w:b/>
          <w:b/>
          <w:bCs/>
          <w:color w:val="000000"/>
          <w:sz w:val="52"/>
          <w:szCs w:val="40"/>
          <w:shd w:fill="FFFFFF" w:val="clear"/>
        </w:rPr>
      </w:pPr>
      <w:r>
        <w:rPr>
          <w:b/>
          <w:bCs/>
          <w:color w:val="000000"/>
          <w:sz w:val="52"/>
          <w:szCs w:val="40"/>
          <w:shd w:fill="FFFFFF" w:val="clear"/>
        </w:rPr>
      </w:r>
    </w:p>
    <w:tbl>
      <w:tblPr>
        <w:tblW w:w="7630" w:type="dxa"/>
        <w:jc w:val="left"/>
        <w:tblInd w:w="1134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1" w:noVBand="0" w:lastRow="0" w:firstColumn="1" w:lastColumn="0" w:noHBand="0" w:val="00a0"/>
      </w:tblPr>
      <w:tblGrid>
        <w:gridCol w:w="1535"/>
        <w:gridCol w:w="3567"/>
        <w:gridCol w:w="2528"/>
      </w:tblGrid>
      <w:tr>
        <w:trPr/>
        <w:tc>
          <w:tcPr>
            <w:tcW w:w="1535" w:type="dxa"/>
            <w:tcBorders/>
          </w:tcPr>
          <w:p>
            <w:pPr>
              <w:pStyle w:val="Normal"/>
              <w:keepNext w:val="true"/>
              <w:keepLines/>
              <w:widowControl w:val="false"/>
              <w:tabs>
                <w:tab w:val="clear" w:pos="720"/>
                <w:tab w:val="left" w:pos="1890" w:leader="none"/>
              </w:tabs>
              <w:spacing w:lineRule="auto" w:line="240" w:before="0" w:after="0"/>
              <w:rPr>
                <w:color w:val="000000"/>
                <w:sz w:val="26"/>
                <w:szCs w:val="26"/>
                <w:shd w:fill="FFFFFF" w:val="clear"/>
              </w:rPr>
            </w:pPr>
            <w:r>
              <w:rPr>
                <w:color w:val="000000"/>
                <w:sz w:val="26"/>
                <w:szCs w:val="26"/>
                <w:shd w:fill="FFFFFF" w:val="clear"/>
              </w:rPr>
            </w:r>
            <w:bookmarkStart w:id="0" w:name="дата"/>
            <w:bookmarkStart w:id="1" w:name="дата"/>
            <w:bookmarkEnd w:id="1"/>
          </w:p>
        </w:tc>
        <w:tc>
          <w:tcPr>
            <w:tcW w:w="3567" w:type="dxa"/>
            <w:tcBorders/>
          </w:tcPr>
          <w:p>
            <w:pPr>
              <w:pStyle w:val="Normal"/>
              <w:keepNext w:val="true"/>
              <w:keepLines/>
              <w:widowControl w:val="false"/>
              <w:spacing w:lineRule="auto" w:line="240" w:before="0" w:after="0"/>
              <w:rPr>
                <w:color w:val="000000"/>
                <w:sz w:val="24"/>
                <w:szCs w:val="24"/>
                <w:shd w:fill="FFFFFF" w:val="clear"/>
              </w:rPr>
            </w:pPr>
            <w:r>
              <w:rPr>
                <w:color w:val="000000"/>
                <w:sz w:val="24"/>
                <w:szCs w:val="24"/>
                <w:shd w:fill="FFFFFF" w:val="clear"/>
              </w:rPr>
            </w:r>
          </w:p>
        </w:tc>
        <w:tc>
          <w:tcPr>
            <w:tcW w:w="2528" w:type="dxa"/>
            <w:tcBorders/>
          </w:tcPr>
          <w:p>
            <w:pPr>
              <w:pStyle w:val="Normal"/>
              <w:keepNext w:val="true"/>
              <w:keepLines/>
              <w:widowControl w:val="false"/>
              <w:tabs>
                <w:tab w:val="clear" w:pos="720"/>
                <w:tab w:val="left" w:pos="1890" w:leader="none"/>
                <w:tab w:val="left" w:pos="9898" w:leader="none"/>
                <w:tab w:val="left" w:pos="10040" w:leader="none"/>
              </w:tabs>
              <w:spacing w:lineRule="auto" w:line="240" w:before="0" w:after="0"/>
              <w:rPr>
                <w:color w:val="000000"/>
                <w:sz w:val="26"/>
                <w:szCs w:val="26"/>
                <w:shd w:fill="FFFFFF" w:val="clear"/>
              </w:rPr>
            </w:pPr>
            <w:r>
              <w:rPr>
                <w:color w:val="000000"/>
                <w:sz w:val="26"/>
                <w:szCs w:val="26"/>
                <w:shd w:fill="FFFFFF" w:val="clear"/>
              </w:rPr>
              <w:t>№</w:t>
            </w:r>
            <w:bookmarkStart w:id="2" w:name="номер"/>
            <w:bookmarkEnd w:id="2"/>
          </w:p>
        </w:tc>
      </w:tr>
    </w:tbl>
    <w:p>
      <w:pPr>
        <w:pStyle w:val="Normal"/>
        <w:widowControl w:val="false"/>
        <w:tabs>
          <w:tab w:val="clear" w:pos="720"/>
          <w:tab w:val="left" w:pos="1890" w:leader="none"/>
        </w:tabs>
        <w:spacing w:lineRule="auto" w:line="240" w:before="0" w:after="0"/>
        <w:rPr>
          <w:shd w:fill="FFFFFF" w:val="clear"/>
        </w:rPr>
      </w:pPr>
      <w:r>
        <w:rPr>
          <w:color w:val="000000"/>
          <w:sz w:val="24"/>
          <w:szCs w:val="24"/>
          <w:shd w:fill="FFFFFF" w:val="clear"/>
        </w:rPr>
        <w:tab/>
      </w:r>
    </w:p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shd w:fill="FFFFFF" w:val="clear"/>
        </w:rPr>
      </w:pPr>
      <w:r>
        <w:rPr>
          <w:color w:val="000000"/>
          <w:sz w:val="26"/>
          <w:szCs w:val="26"/>
          <w:shd w:fill="FFFFFF" w:val="clear"/>
        </w:rPr>
        <w:t>Великий Новгород</w:t>
      </w:r>
    </w:p>
    <w:p>
      <w:pPr>
        <w:pStyle w:val="Normal"/>
        <w:widowControl w:val="false"/>
        <w:spacing w:lineRule="auto" w:line="240" w:before="0" w:after="0"/>
        <w:ind w:left="261" w:hanging="0"/>
        <w:rPr>
          <w:color w:val="000000"/>
          <w:sz w:val="26"/>
          <w:szCs w:val="26"/>
          <w:shd w:fill="FFFFFF" w:val="clear"/>
        </w:rPr>
      </w:pPr>
      <w:r>
        <w:rPr>
          <w:color w:val="000000"/>
          <w:sz w:val="26"/>
          <w:szCs w:val="26"/>
          <w:shd w:fill="FFFFFF" w:val="clear"/>
        </w:rPr>
      </w:r>
    </w:p>
    <w:tbl>
      <w:tblPr>
        <w:tblW w:w="11907" w:type="dxa"/>
        <w:jc w:val="left"/>
        <w:tblInd w:w="-1701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1" w:noVBand="0" w:lastRow="0" w:firstColumn="1" w:lastColumn="0" w:noHBand="0" w:val="00a0"/>
      </w:tblPr>
      <w:tblGrid>
        <w:gridCol w:w="2382"/>
        <w:gridCol w:w="7142"/>
        <w:gridCol w:w="2383"/>
      </w:tblGrid>
      <w:tr>
        <w:trPr/>
        <w:tc>
          <w:tcPr>
            <w:tcW w:w="2382" w:type="dxa"/>
            <w:tcBorders/>
          </w:tcPr>
          <w:p>
            <w:pPr>
              <w:pStyle w:val="Normal"/>
              <w:keepNext w:val="true"/>
              <w:keepLines/>
              <w:widowControl w:val="false"/>
              <w:spacing w:lineRule="auto" w:line="240" w:before="0" w:after="0"/>
              <w:rPr>
                <w:color w:val="000000"/>
                <w:sz w:val="26"/>
                <w:szCs w:val="26"/>
                <w:shd w:fill="FFFFFF" w:val="clear"/>
              </w:rPr>
            </w:pPr>
            <w:r>
              <w:rPr>
                <w:color w:val="000000"/>
                <w:sz w:val="26"/>
                <w:szCs w:val="26"/>
                <w:shd w:fill="FFFFFF" w:val="clear"/>
              </w:rPr>
            </w:r>
          </w:p>
        </w:tc>
        <w:tc>
          <w:tcPr>
            <w:tcW w:w="7142" w:type="dxa"/>
            <w:tcBorders/>
          </w:tcPr>
          <w:p>
            <w:pPr>
              <w:pStyle w:val="Normal"/>
              <w:widowControl w:val="false"/>
              <w:spacing w:lineRule="auto" w:line="240" w:before="0" w:after="240"/>
              <w:ind w:left="23" w:hanging="0"/>
              <w:jc w:val="center"/>
              <w:rPr>
                <w:color w:val="000000"/>
              </w:rPr>
            </w:pPr>
            <w:r>
              <w:rPr>
                <w:rFonts w:cs="Times New Roman" w:ascii="Times New Roman Cyr" w:hAnsi="Times New Roman Cyr"/>
                <w:b/>
                <w:bCs/>
                <w:color w:val="000000"/>
                <w:sz w:val="26"/>
                <w:szCs w:val="28"/>
                <w:shd w:fill="FFFFFF" w:val="clear"/>
              </w:rPr>
              <w:t>«О</w:t>
            </w:r>
            <w:r>
              <w:rPr>
                <w:rFonts w:ascii="Times New Roman Cyr" w:hAnsi="Times New Roman Cyr"/>
                <w:b/>
                <w:color w:val="000000"/>
                <w:sz w:val="26"/>
              </w:rPr>
              <w:t xml:space="preserve"> признании утратившим силу постановлений Администрации Великого Новгорода»</w:t>
            </w:r>
          </w:p>
        </w:tc>
        <w:tc>
          <w:tcPr>
            <w:tcW w:w="2383" w:type="dxa"/>
            <w:tcBorders/>
          </w:tcPr>
          <w:p>
            <w:pPr>
              <w:pStyle w:val="Normal"/>
              <w:keepNext w:val="true"/>
              <w:keepLines/>
              <w:widowControl w:val="false"/>
              <w:spacing w:lineRule="auto" w:line="240" w:before="0" w:after="0"/>
              <w:rPr>
                <w:b/>
                <w:b/>
                <w:bCs/>
                <w:color w:val="000000"/>
                <w:sz w:val="26"/>
                <w:szCs w:val="26"/>
                <w:shd w:fill="FFFFFF" w:val="clear"/>
              </w:rPr>
            </w:pPr>
            <w:r>
              <w:rPr>
                <w:b/>
                <w:bCs/>
                <w:color w:val="000000"/>
                <w:sz w:val="26"/>
                <w:szCs w:val="26"/>
                <w:shd w:fill="FFFFFF" w:val="clear"/>
              </w:rPr>
            </w:r>
          </w:p>
        </w:tc>
      </w:tr>
    </w:tbl>
    <w:p>
      <w:pPr>
        <w:pStyle w:val="Normal"/>
        <w:widowControl w:val="false"/>
        <w:spacing w:lineRule="auto" w:line="360" w:before="0" w:after="0"/>
        <w:ind w:left="261" w:firstLine="709"/>
        <w:jc w:val="center"/>
        <w:rPr>
          <w:b/>
          <w:b/>
          <w:bCs/>
          <w:color w:val="000000"/>
          <w:sz w:val="26"/>
          <w:szCs w:val="26"/>
          <w:shd w:fill="FFFFFF" w:val="clear"/>
        </w:rPr>
      </w:pPr>
      <w:r>
        <w:rPr>
          <w:b/>
          <w:bCs/>
          <w:color w:val="000000"/>
          <w:sz w:val="26"/>
          <w:szCs w:val="26"/>
          <w:shd w:fill="FFFFFF" w:val="clear"/>
        </w:rPr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both"/>
        <w:rPr>
          <w:shd w:fill="FFFFFF" w:val="clear"/>
        </w:rPr>
      </w:pPr>
      <w:r>
        <w:rPr>
          <w:rFonts w:cs="Roboto;sans-serif"/>
          <w:b w:val="false"/>
          <w:i w:val="false"/>
          <w:caps w:val="false"/>
          <w:smallCaps w:val="false"/>
          <w:strike w:val="false"/>
          <w:dstrike w:val="false"/>
          <w:color w:val="000000"/>
          <w:spacing w:val="0"/>
          <w:sz w:val="26"/>
          <w:szCs w:val="26"/>
          <w:u w:val="none"/>
          <w:shd w:fill="FFFFFF" w:val="clear"/>
        </w:rPr>
        <w:t>А</w:t>
      </w:r>
      <w:r>
        <w:rPr>
          <w:color w:val="000000"/>
          <w:sz w:val="26"/>
        </w:rPr>
        <w:t xml:space="preserve">дминистрация Великого Новгорода </w:t>
      </w:r>
      <w:r>
        <w:rPr>
          <w:b/>
          <w:color w:val="000000"/>
          <w:sz w:val="26"/>
        </w:rPr>
        <w:t>постановляет:</w:t>
      </w:r>
    </w:p>
    <w:p>
      <w:pPr>
        <w:pStyle w:val="Normal"/>
        <w:tabs>
          <w:tab w:val="clear" w:pos="720"/>
          <w:tab w:val="left" w:pos="990" w:leader="none"/>
        </w:tabs>
        <w:bidi w:val="0"/>
        <w:spacing w:lineRule="auto" w:line="360" w:before="0" w:after="0"/>
        <w:ind w:left="261" w:firstLine="360"/>
        <w:jc w:val="both"/>
        <w:rPr>
          <w:shd w:fill="FFFFFF" w:val="clear"/>
        </w:rPr>
      </w:pPr>
      <w:r>
        <w:rPr>
          <w:color w:val="000000"/>
          <w:sz w:val="26"/>
        </w:rPr>
        <w:t>1.Признать утратившими силу постановления Администрации Великого Новгорода:</w:t>
      </w:r>
    </w:p>
    <w:p>
      <w:pPr>
        <w:pStyle w:val="Normal"/>
        <w:tabs>
          <w:tab w:val="clear" w:pos="720"/>
          <w:tab w:val="left" w:pos="990" w:leader="none"/>
        </w:tabs>
        <w:bidi w:val="0"/>
        <w:spacing w:lineRule="auto" w:line="360" w:before="0" w:after="0"/>
        <w:ind w:left="261" w:firstLine="360"/>
        <w:jc w:val="both"/>
        <w:rPr>
          <w:shd w:fill="FFFFFF" w:val="clear"/>
        </w:rPr>
      </w:pPr>
      <w:r>
        <w:rPr>
          <w:color w:val="000000"/>
          <w:sz w:val="26"/>
        </w:rPr>
        <w:t>от 15.07.2020 № 2501 «Об утверждении порядка предоставления субсидии из бюджета Великого Новгорода на возмещение недополученных доходов муниципальным унитарным предприятиям, оказывающим услуги бань в общих отделениях без бассейна и душевых отделениях на территории муниципального образования — городского округа Великий Новгород, в связи с предоставлением услуг по помывке отдельным категориям граждан";</w:t>
      </w:r>
    </w:p>
    <w:p>
      <w:pPr>
        <w:pStyle w:val="Normal"/>
        <w:tabs>
          <w:tab w:val="clear" w:pos="720"/>
          <w:tab w:val="left" w:pos="990" w:leader="none"/>
        </w:tabs>
        <w:bidi w:val="0"/>
        <w:spacing w:lineRule="auto" w:line="360" w:before="0" w:after="0"/>
        <w:ind w:left="261" w:firstLine="360"/>
        <w:jc w:val="both"/>
        <w:rPr>
          <w:shd w:fill="FFFFFF" w:val="clear"/>
        </w:rPr>
      </w:pPr>
      <w:r>
        <w:rPr>
          <w:color w:val="000000"/>
          <w:sz w:val="26"/>
        </w:rPr>
        <w:t xml:space="preserve">от 31.08.2022 </w:t>
      </w:r>
      <w:hyperlink r:id="rId3">
        <w:r>
          <w:rPr>
            <w:color w:val="000000"/>
            <w:sz w:val="26"/>
          </w:rPr>
          <w:t>N 4067</w:t>
        </w:r>
      </w:hyperlink>
      <w:r>
        <w:rPr>
          <w:color w:val="000000"/>
          <w:sz w:val="26"/>
        </w:rPr>
        <w:t xml:space="preserve"> "О внесении изменений в постановление Администрации Великого Новгорода от 15.07.2020 N 2501"; </w:t>
      </w:r>
    </w:p>
    <w:p>
      <w:pPr>
        <w:pStyle w:val="Normal"/>
        <w:tabs>
          <w:tab w:val="clear" w:pos="720"/>
          <w:tab w:val="left" w:pos="990" w:leader="none"/>
        </w:tabs>
        <w:bidi w:val="0"/>
        <w:spacing w:lineRule="auto" w:line="360" w:before="0" w:after="0"/>
        <w:ind w:left="261" w:firstLine="360"/>
        <w:jc w:val="both"/>
        <w:rPr>
          <w:shd w:fill="FFFFFF" w:val="clear"/>
        </w:rPr>
      </w:pPr>
      <w:r>
        <w:rPr>
          <w:color w:val="000000"/>
          <w:sz w:val="26"/>
        </w:rPr>
        <w:t xml:space="preserve">от 12.09.2023 </w:t>
      </w:r>
      <w:hyperlink r:id="rId4">
        <w:r>
          <w:rPr>
            <w:color w:val="000000"/>
            <w:sz w:val="26"/>
          </w:rPr>
          <w:t>N 4471</w:t>
        </w:r>
      </w:hyperlink>
      <w:r>
        <w:rPr>
          <w:color w:val="000000"/>
          <w:sz w:val="26"/>
        </w:rPr>
        <w:t xml:space="preserve"> "О внесении изменений в Порядок предоставления субсидии из бюджета Великого Новгорода на возмещение недополученных доходов муниципальным унитарным предприятиям, оказывающим услуги бань в общих отделениях без бассейна и душевых отделениях на территории муниципального образования - городского округа Великий Новгород, в связи с предоставлением услуг по помывке отдельным категориям граждан";</w:t>
      </w:r>
    </w:p>
    <w:p>
      <w:pPr>
        <w:pStyle w:val="Normal"/>
        <w:tabs>
          <w:tab w:val="clear" w:pos="720"/>
          <w:tab w:val="left" w:pos="990" w:leader="none"/>
        </w:tabs>
        <w:bidi w:val="0"/>
        <w:spacing w:lineRule="auto" w:line="360" w:before="0" w:after="0"/>
        <w:ind w:left="261" w:firstLine="360"/>
        <w:jc w:val="both"/>
        <w:rPr>
          <w:shd w:fill="FFFFFF" w:val="clear"/>
        </w:rPr>
      </w:pPr>
      <w:r>
        <w:rPr>
          <w:color w:val="000000"/>
          <w:sz w:val="26"/>
        </w:rPr>
        <w:t xml:space="preserve">от 29.02.2024 </w:t>
      </w:r>
      <w:hyperlink r:id="rId5">
        <w:r>
          <w:rPr>
            <w:color w:val="000000"/>
            <w:sz w:val="26"/>
          </w:rPr>
          <w:t xml:space="preserve">N 842 </w:t>
        </w:r>
      </w:hyperlink>
      <w:r>
        <w:rPr>
          <w:color w:val="000000"/>
          <w:sz w:val="26"/>
        </w:rPr>
        <w:t>"О внесении изменений в постановление Администрации Великого Новгорода от 15.07.2020 N 2501".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both"/>
        <w:rPr>
          <w:shd w:fill="FFFFFF" w:val="clear"/>
        </w:rPr>
      </w:pPr>
      <w:r>
        <w:rPr>
          <w:color w:val="000000"/>
          <w:sz w:val="26"/>
        </w:rPr>
        <w:t>2.</w:t>
      </w:r>
      <w:r>
        <w:rPr>
          <w:color w:val="000000"/>
          <w:sz w:val="22"/>
        </w:rPr>
        <w:t xml:space="preserve"> </w:t>
      </w:r>
      <w:r>
        <w:rPr>
          <w:color w:val="000000"/>
          <w:sz w:val="26"/>
        </w:rPr>
        <w:t>Опубликовать настоящее постановление в газете "Новгород", официальном сетевом издании "Интернет-газета "Новгород" и разместить на официальных сайтах Администрации Великого Новгорода в сети Интернет.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jc w:val="both"/>
        <w:rPr>
          <w:b/>
          <w:b/>
          <w:color w:val="000000"/>
          <w:sz w:val="26"/>
          <w:szCs w:val="26"/>
          <w:shd w:fill="FFFFFF" w:val="clear"/>
        </w:rPr>
      </w:pPr>
      <w:hyperlink r:id="rId6">
        <w:r>
          <w:rPr>
            <w:b/>
            <w:color w:val="000000"/>
            <w:sz w:val="26"/>
            <w:szCs w:val="26"/>
            <w:shd w:fill="FFFFFF" w:val="clear"/>
          </w:rPr>
        </w:r>
      </w:hyperlink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jc w:val="both"/>
        <w:rPr>
          <w:shd w:fill="FFFFFF" w:val="clear"/>
        </w:rPr>
      </w:pPr>
      <w:hyperlink r:id="rId7">
        <w:r>
          <w:rPr>
            <w:b/>
            <w:color w:val="000000"/>
            <w:sz w:val="26"/>
            <w:szCs w:val="26"/>
            <w:shd w:fill="FFFFFF" w:val="clear"/>
          </w:rPr>
          <w:t>Проект подготовил и завизировал:</w:t>
        </w:r>
      </w:hyperlink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jc w:val="both"/>
        <w:rPr>
          <w:b/>
          <w:b/>
          <w:color w:val="000000"/>
          <w:sz w:val="26"/>
          <w:szCs w:val="26"/>
          <w:shd w:fill="FFFFFF" w:val="clear"/>
        </w:rPr>
      </w:pPr>
      <w:hyperlink r:id="rId8">
        <w:r>
          <w:rPr>
            <w:b/>
            <w:color w:val="000000"/>
            <w:sz w:val="26"/>
            <w:szCs w:val="26"/>
            <w:shd w:fill="FFFFFF" w:val="clear"/>
          </w:rPr>
        </w:r>
      </w:hyperlink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240" w:before="0" w:after="0"/>
        <w:contextualSpacing/>
        <w:jc w:val="both"/>
        <w:rPr>
          <w:shd w:fill="FFFFFF" w:val="clear"/>
        </w:rPr>
      </w:pPr>
      <w:hyperlink r:id="rId9">
        <w:r>
          <w:rPr>
            <w:b/>
            <w:color w:val="000000"/>
            <w:sz w:val="26"/>
            <w:szCs w:val="26"/>
            <w:shd w:fill="FFFFFF" w:val="clear"/>
          </w:rPr>
          <w:t>Председатель комитета по управлению</w:t>
        </w:r>
      </w:hyperlink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240" w:before="0" w:after="0"/>
        <w:contextualSpacing/>
        <w:jc w:val="both"/>
        <w:rPr>
          <w:shd w:fill="FFFFFF" w:val="clear"/>
        </w:rPr>
      </w:pPr>
      <w:hyperlink r:id="rId10">
        <w:r>
          <w:rPr>
            <w:b/>
            <w:color w:val="000000"/>
            <w:sz w:val="26"/>
            <w:szCs w:val="26"/>
            <w:shd w:fill="FFFFFF" w:val="clear"/>
          </w:rPr>
          <w:t>городским и дорожным хозяйством</w:t>
        </w:r>
      </w:hyperlink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240" w:before="0" w:after="0"/>
        <w:contextualSpacing/>
        <w:jc w:val="both"/>
        <w:rPr>
          <w:shd w:fill="FFFFFF" w:val="clear"/>
        </w:rPr>
      </w:pPr>
      <w:hyperlink r:id="rId11">
        <w:r>
          <w:rPr>
            <w:b/>
            <w:color w:val="000000"/>
            <w:sz w:val="26"/>
            <w:szCs w:val="26"/>
            <w:shd w:fill="FFFFFF" w:val="clear"/>
          </w:rPr>
          <w:t>Администрации Великого Новгорода</w:t>
          <w:tab/>
          <w:t xml:space="preserve">                                        А. А. Тейдер</w:t>
        </w:r>
      </w:hyperlink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both"/>
        <w:rPr>
          <w:color w:val="000000"/>
          <w:sz w:val="26"/>
          <w:szCs w:val="26"/>
          <w:shd w:fill="FFFFFF" w:val="clear"/>
        </w:rPr>
      </w:pPr>
      <w:hyperlink r:id="rId12">
        <w:r>
          <w:rPr>
            <w:color w:val="000000"/>
            <w:sz w:val="26"/>
            <w:szCs w:val="26"/>
            <w:shd w:fill="FFFFFF" w:val="clear"/>
          </w:rPr>
        </w:r>
      </w:hyperlink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both"/>
        <w:rPr>
          <w:color w:val="000000"/>
          <w:sz w:val="26"/>
          <w:szCs w:val="26"/>
          <w:shd w:fill="FFFFFF" w:val="clear"/>
        </w:rPr>
      </w:pPr>
      <w:hyperlink r:id="rId13">
        <w:r>
          <w:rPr>
            <w:color w:val="000000"/>
            <w:sz w:val="26"/>
            <w:szCs w:val="26"/>
            <w:shd w:fill="FFFFFF" w:val="clear"/>
          </w:rPr>
        </w:r>
      </w:hyperlink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both"/>
        <w:rPr>
          <w:color w:val="000000"/>
          <w:sz w:val="26"/>
          <w:szCs w:val="26"/>
          <w:shd w:fill="FFFFFF" w:val="clear"/>
        </w:rPr>
      </w:pPr>
      <w:hyperlink r:id="rId14">
        <w:r>
          <w:rPr>
            <w:color w:val="000000"/>
            <w:sz w:val="26"/>
            <w:szCs w:val="26"/>
            <w:shd w:fill="FFFFFF" w:val="clear"/>
          </w:rPr>
        </w:r>
      </w:hyperlink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both"/>
        <w:rPr>
          <w:shd w:fill="FFFFFF" w:val="clear"/>
        </w:rPr>
      </w:pPr>
      <w:hyperlink r:id="rId15">
        <w:r>
          <w:rPr>
            <w:color w:val="000000"/>
            <w:sz w:val="26"/>
            <w:szCs w:val="26"/>
            <w:shd w:fill="FFFFFF" w:val="clear"/>
          </w:rPr>
          <w:tab/>
        </w:r>
      </w:hyperlink>
    </w:p>
    <w:p>
      <w:pPr>
        <w:pStyle w:val="Normal"/>
        <w:spacing w:lineRule="auto" w:line="360" w:before="0" w:after="0"/>
        <w:rPr>
          <w:color w:val="000000"/>
          <w:sz w:val="26"/>
          <w:szCs w:val="26"/>
          <w:shd w:fill="FFFFFF" w:val="clear"/>
        </w:rPr>
      </w:pPr>
      <w:r>
        <w:rPr>
          <w:sz w:val="26"/>
        </w:rPr>
      </w:r>
    </w:p>
    <w:sectPr>
      <w:headerReference w:type="default" r:id="rId16"/>
      <w:type w:val="nextPage"/>
      <w:pgSz w:w="11906" w:h="16838"/>
      <w:pgMar w:left="1701" w:right="567" w:header="567" w:top="1134" w:footer="0" w:bottom="851" w:gutter="0"/>
      <w:pgNumType w:fmt="decimal"/>
      <w:formProt w:val="false"/>
      <w:titlePg/>
      <w:textDirection w:val="lrTb"/>
      <w:docGrid w:type="default" w:linePitch="299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6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> PAGE </w:instrText>
    </w:r>
    <w:r>
      <w:rPr>
        <w:sz w:val="24"/>
        <w:szCs w:val="24"/>
      </w:rPr>
      <w:fldChar w:fldCharType="separate"/>
    </w:r>
    <w:r>
      <w:rPr>
        <w:sz w:val="24"/>
        <w:szCs w:val="24"/>
      </w:rPr>
      <w:t>2</w:t>
    </w:r>
    <w:r>
      <w:rPr>
        <w:sz w:val="24"/>
        <w:szCs w:val="24"/>
      </w:rPr>
      <w:fldChar w:fldCharType="end"/>
    </w:r>
  </w:p>
</w:hdr>
</file>

<file path=word/settings.xml><?xml version="1.0" encoding="utf-8"?>
<w:settings xmlns:w="http://schemas.openxmlformats.org/wordprocessingml/2006/main">
  <w:zoom w:percent="110"/>
  <w:embedSystemFonts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897181"/>
    <w:pPr>
      <w:widowControl/>
      <w:suppressAutoHyphens w:val="true"/>
      <w:bidi w:val="0"/>
      <w:spacing w:lineRule="auto" w:line="276" w:before="0" w:after="20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uiPriority w:val="99"/>
    <w:semiHidden/>
    <w:qFormat/>
    <w:rsid w:val="00897181"/>
    <w:rPr>
      <w:rFonts w:ascii="Tahoma" w:hAnsi="Tahoma" w:cs="Tahoma"/>
      <w:sz w:val="16"/>
      <w:szCs w:val="16"/>
    </w:rPr>
  </w:style>
  <w:style w:type="character" w:styleId="Style15" w:customStyle="1">
    <w:name w:val="Верхний колонтитул Знак"/>
    <w:uiPriority w:val="99"/>
    <w:qFormat/>
    <w:rsid w:val="008e6470"/>
    <w:rPr>
      <w:rFonts w:ascii="Times New Roman" w:hAnsi="Times New Roman"/>
    </w:rPr>
  </w:style>
  <w:style w:type="character" w:styleId="Style16" w:customStyle="1">
    <w:name w:val="Нижний колонтитул Знак"/>
    <w:uiPriority w:val="99"/>
    <w:qFormat/>
    <w:rsid w:val="008e6470"/>
    <w:rPr>
      <w:rFonts w:ascii="Times New Roman" w:hAnsi="Times New Roman"/>
    </w:rPr>
  </w:style>
  <w:style w:type="character" w:styleId="Style17" w:customStyle="1">
    <w:name w:val="Интернет-ссылка"/>
    <w:basedOn w:val="DefaultParagraphFont"/>
    <w:uiPriority w:val="99"/>
    <w:unhideWhenUsed/>
    <w:rsid w:val="001a3f54"/>
    <w:rPr>
      <w:color w:val="0000FF" w:themeColor="hyperlink"/>
      <w:u w:val="single"/>
    </w:rPr>
  </w:style>
  <w:style w:type="character" w:styleId="Style18">
    <w:name w:val="Выделение жирным"/>
    <w:qFormat/>
    <w:rPr>
      <w:b/>
      <w:bCs/>
    </w:rPr>
  </w:style>
  <w:style w:type="character" w:styleId="Style19">
    <w:name w:val="Символ нумерации"/>
    <w:qFormat/>
    <w:rPr/>
  </w:style>
  <w:style w:type="paragraph" w:styleId="Style20" w:customStyle="1">
    <w:name w:val="Заголовок"/>
    <w:basedOn w:val="Normal"/>
    <w:next w:val="Style21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21">
    <w:name w:val="Body Text"/>
    <w:basedOn w:val="Normal"/>
    <w:pPr>
      <w:spacing w:before="0" w:after="140"/>
    </w:pPr>
    <w:rPr/>
  </w:style>
  <w:style w:type="paragraph" w:styleId="Style22">
    <w:name w:val="List"/>
    <w:basedOn w:val="Style21"/>
    <w:pPr/>
    <w:rPr>
      <w:rFonts w:cs="Arial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Arial"/>
    </w:rPr>
  </w:style>
  <w:style w:type="paragraph" w:styleId="BalloonText">
    <w:name w:val="Balloon Text"/>
    <w:basedOn w:val="Normal"/>
    <w:uiPriority w:val="99"/>
    <w:semiHidden/>
    <w:unhideWhenUsed/>
    <w:qFormat/>
    <w:rsid w:val="00897181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5" w:customStyle="1">
    <w:name w:val="Верхний и нижний колонтитулы"/>
    <w:basedOn w:val="Normal"/>
    <w:qFormat/>
    <w:pPr/>
    <w:rPr/>
  </w:style>
  <w:style w:type="paragraph" w:styleId="Style26">
    <w:name w:val="Header"/>
    <w:basedOn w:val="Normal"/>
    <w:uiPriority w:val="99"/>
    <w:unhideWhenUsed/>
    <w:rsid w:val="008e6470"/>
    <w:pPr>
      <w:tabs>
        <w:tab w:val="clear" w:pos="720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7">
    <w:name w:val="Footer"/>
    <w:basedOn w:val="Normal"/>
    <w:uiPriority w:val="99"/>
    <w:unhideWhenUsed/>
    <w:rsid w:val="008e6470"/>
    <w:pPr>
      <w:tabs>
        <w:tab w:val="clear" w:pos="720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ConsPlusTitle" w:customStyle="1">
    <w:name w:val="ConsPlusTitle"/>
    <w:qFormat/>
    <w:rsid w:val="0078532c"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Times New Roman" w:cs="Calibri"/>
      <w:b/>
      <w:color w:val="auto"/>
      <w:kern w:val="0"/>
      <w:sz w:val="22"/>
      <w:szCs w:val="20"/>
      <w:lang w:val="ru-RU" w:eastAsia="ru-RU" w:bidi="ar-SA"/>
    </w:rPr>
  </w:style>
  <w:style w:type="paragraph" w:styleId="ConsPlusNormal" w:customStyle="1">
    <w:name w:val="ConsPlusNormal"/>
    <w:qFormat/>
    <w:rsid w:val="0078532c"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Times New Roman" w:cs="Calibri"/>
      <w:color w:val="auto"/>
      <w:kern w:val="0"/>
      <w:sz w:val="22"/>
      <w:szCs w:val="20"/>
      <w:lang w:val="ru-RU" w:eastAsia="ru-RU" w:bidi="ar-SA"/>
    </w:rPr>
  </w:style>
  <w:style w:type="paragraph" w:styleId="Style28">
    <w:name w:val="Содержимое таблицы"/>
    <w:basedOn w:val="Normal"/>
    <w:qFormat/>
    <w:pPr>
      <w:widowControl w:val="false"/>
      <w:suppressLineNumbers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s://login.consultant.ru/link/?req=doc&amp;base=RLAW154&amp;n=102055&amp;dst=100005" TargetMode="External"/><Relationship Id="rId4" Type="http://schemas.openxmlformats.org/officeDocument/2006/relationships/hyperlink" Target="https://login.consultant.ru/link/?req=doc&amp;base=RLAW154&amp;n=107861&amp;dst=100005" TargetMode="External"/><Relationship Id="rId5" Type="http://schemas.openxmlformats.org/officeDocument/2006/relationships/hyperlink" Target="https://login.consultant.ru/link/?req=doc&amp;base=RLAW154&amp;n=110521&amp;dst=100005" TargetMode="External"/><Relationship Id="rId6" Type="http://schemas.openxmlformats.org/officeDocument/2006/relationships/hyperlink" Target="https://login.consultant.ru/link/?req=doc&amp;base=RLAW154&amp;n=110521&amp;dst=100005" TargetMode="External"/><Relationship Id="rId7" Type="http://schemas.openxmlformats.org/officeDocument/2006/relationships/hyperlink" Target="https://login.consultant.ru/link/?req=doc&amp;base=RLAW154&amp;n=110521&amp;dst=100005" TargetMode="External"/><Relationship Id="rId8" Type="http://schemas.openxmlformats.org/officeDocument/2006/relationships/hyperlink" Target="https://login.consultant.ru/link/?req=doc&amp;base=RLAW154&amp;n=110521&amp;dst=100005" TargetMode="External"/><Relationship Id="rId9" Type="http://schemas.openxmlformats.org/officeDocument/2006/relationships/hyperlink" Target="https://login.consultant.ru/link/?req=doc&amp;base=RLAW154&amp;n=110521&amp;dst=100005" TargetMode="External"/><Relationship Id="rId10" Type="http://schemas.openxmlformats.org/officeDocument/2006/relationships/hyperlink" Target="https://login.consultant.ru/link/?req=doc&amp;base=RLAW154&amp;n=110521&amp;dst=100005" TargetMode="External"/><Relationship Id="rId11" Type="http://schemas.openxmlformats.org/officeDocument/2006/relationships/hyperlink" Target="https://login.consultant.ru/link/?req=doc&amp;base=RLAW154&amp;n=110521&amp;dst=100005" TargetMode="External"/><Relationship Id="rId12" Type="http://schemas.openxmlformats.org/officeDocument/2006/relationships/hyperlink" Target="https://login.consultant.ru/link/?req=doc&amp;base=RLAW154&amp;n=110521&amp;dst=100005" TargetMode="External"/><Relationship Id="rId13" Type="http://schemas.openxmlformats.org/officeDocument/2006/relationships/hyperlink" Target="https://login.consultant.ru/link/?req=doc&amp;base=RLAW154&amp;n=110521&amp;dst=100005" TargetMode="External"/><Relationship Id="rId14" Type="http://schemas.openxmlformats.org/officeDocument/2006/relationships/hyperlink" Target="https://login.consultant.ru/link/?req=doc&amp;base=RLAW154&amp;n=110521&amp;dst=100005" TargetMode="External"/><Relationship Id="rId15" Type="http://schemas.openxmlformats.org/officeDocument/2006/relationships/hyperlink" Target="https://login.consultant.ru/link/?req=doc&amp;base=RLAW154&amp;n=110521&amp;dst=100005" TargetMode="External"/><Relationship Id="rId16" Type="http://schemas.openxmlformats.org/officeDocument/2006/relationships/header" Target="header1.xml"/><Relationship Id="rId17" Type="http://schemas.openxmlformats.org/officeDocument/2006/relationships/fontTable" Target="fontTable.xml"/><Relationship Id="rId18" Type="http://schemas.openxmlformats.org/officeDocument/2006/relationships/settings" Target="settings.xml"/><Relationship Id="rId19" Type="http://schemas.openxmlformats.org/officeDocument/2006/relationships/theme" Target="theme/theme1.xml"/><Relationship Id="rId20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14040A-C934-4147-A588-770D16A00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Application>LibreOffice/7.0.4.2$Windows_X86_64 LibreOffice_project/dcf040e67528d9187c66b2379df5ea4407429775</Application>
  <AppVersion>15.0000</AppVersion>
  <Pages>2</Pages>
  <Words>216</Words>
  <Characters>1486</Characters>
  <CharactersWithSpaces>1728</CharactersWithSpaces>
  <Paragraphs>22</Paragraphs>
  <Company>КонсультантПлюс Версия 4025.00.30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2025-09-22T11:49:00Z</dcterms:created>
  <dc:creator>Рискулова Галина Юрьевна</dc:creator>
  <dc:description/>
  <dc:language>ru-RU</dc:language>
  <cp:lastModifiedBy/>
  <cp:lastPrinted>2025-09-22T15:13:18Z</cp:lastPrinted>
  <dcterms:modified xsi:type="dcterms:W3CDTF">2025-10-15T12:18:14Z</dcterms:modified>
  <cp:revision>16</cp:revision>
  <dc:subject/>
  <dc:title>Решение Думы Великого Новгорода от 29.05.2025 N 339(ред. от 22.08.2025)"Об установлении дополнительных мер социальной поддержки отдельных категорий граждан"(принято Думой Великого Новгорода 29.05.2025)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