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png" ContentType="image/pn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/>
        <w:drawing>
          <wp:inline distT="0" distB="0" distL="0" distR="0">
            <wp:extent cx="685800" cy="857250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ms Rmn" w:hAnsi="Tms Rmn"/>
          <w:sz w:val="24"/>
          <w:szCs w:val="24"/>
          <w:shd w:fill="FFFFFF" w:val="clear"/>
        </w:rPr>
        <w:t xml:space="preserve"> 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26"/>
          <w:szCs w:val="26"/>
          <w:shd w:fill="FFFFFF" w:val="clear"/>
        </w:rPr>
        <w:t>Новгородская область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b/>
          <w:bCs/>
          <w:color w:val="000000"/>
          <w:sz w:val="26"/>
          <w:szCs w:val="26"/>
          <w:shd w:fill="FFFFFF" w:val="clear"/>
        </w:rPr>
      </w:pPr>
      <w:r>
        <w:rPr>
          <w:b/>
          <w:bCs/>
          <w:color w:val="000000"/>
          <w:sz w:val="26"/>
          <w:szCs w:val="26"/>
          <w:shd w:fill="FFFFFF" w:val="clear"/>
        </w:rPr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32"/>
          <w:szCs w:val="32"/>
          <w:shd w:fill="FFFFFF" w:val="clear"/>
        </w:rPr>
        <w:t>Администрация Великого Новгорода</w:t>
      </w:r>
    </w:p>
    <w:p>
      <w:pPr>
        <w:pStyle w:val="Normal"/>
        <w:widowControl w:val="false"/>
        <w:spacing w:lineRule="auto" w:line="240" w:before="0" w:after="12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32"/>
          <w:szCs w:val="32"/>
          <w:shd w:fill="FFFFFF" w:val="clear"/>
        </w:rPr>
        <w:t>Проект</w:t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>
          <w:b/>
          <w:bCs/>
          <w:color w:val="000000"/>
          <w:sz w:val="40"/>
          <w:szCs w:val="40"/>
          <w:shd w:fill="FFFFFF" w:val="clear"/>
        </w:rPr>
        <w:t>П О С Т А Н О В Л Е Н И Е</w:t>
      </w:r>
    </w:p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b/>
          <w:bCs/>
          <w:color w:val="000000"/>
          <w:sz w:val="40"/>
          <w:szCs w:val="40"/>
          <w:shd w:fill="FFFFFF" w:val="clear"/>
        </w:rPr>
      </w:pPr>
      <w:r>
        <w:rPr>
          <w:b/>
          <w:bCs/>
          <w:color w:val="000000"/>
          <w:sz w:val="40"/>
          <w:szCs w:val="40"/>
          <w:shd w:fill="FFFFFF" w:val="clear"/>
        </w:rPr>
      </w:r>
    </w:p>
    <w:tbl>
      <w:tblPr>
        <w:tblW w:w="7630" w:type="dxa"/>
        <w:jc w:val="left"/>
        <w:tblInd w:w="113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1535"/>
        <w:gridCol w:w="3567"/>
        <w:gridCol w:w="2528"/>
      </w:tblGrid>
      <w:tr>
        <w:trPr/>
        <w:tc>
          <w:tcPr>
            <w:tcW w:w="1535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</w:tabs>
              <w:spacing w:lineRule="auto" w:line="240" w:before="0" w:after="0"/>
              <w:rPr>
                <w:color w:val="000000"/>
                <w:sz w:val="26"/>
                <w:szCs w:val="26"/>
                <w:shd w:fill="FFFFFF" w:val="clear"/>
              </w:rPr>
            </w:pPr>
            <w:r>
              <w:rPr>
                <w:color w:val="000000"/>
                <w:sz w:val="26"/>
                <w:szCs w:val="26"/>
                <w:shd w:fill="FFFFFF" w:val="clear"/>
              </w:rPr>
            </w:r>
            <w:bookmarkStart w:id="0" w:name="дата"/>
            <w:bookmarkStart w:id="1" w:name="дата"/>
            <w:bookmarkEnd w:id="1"/>
          </w:p>
        </w:tc>
        <w:tc>
          <w:tcPr>
            <w:tcW w:w="3567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4"/>
                <w:szCs w:val="24"/>
                <w:shd w:fill="FFFFFF" w:val="clear"/>
              </w:rPr>
            </w:pPr>
            <w:r>
              <w:rPr>
                <w:color w:val="000000"/>
                <w:sz w:val="24"/>
                <w:szCs w:val="24"/>
                <w:shd w:fill="FFFFFF" w:val="clear"/>
              </w:rPr>
            </w:r>
          </w:p>
        </w:tc>
        <w:tc>
          <w:tcPr>
            <w:tcW w:w="2528" w:type="dxa"/>
            <w:tcBorders/>
          </w:tcPr>
          <w:p>
            <w:pPr>
              <w:pStyle w:val="Normal"/>
              <w:keepNext w:val="true"/>
              <w:keepLines/>
              <w:widowControl w:val="false"/>
              <w:tabs>
                <w:tab w:val="clear" w:pos="720"/>
                <w:tab w:val="left" w:pos="1890" w:leader="none"/>
                <w:tab w:val="left" w:pos="9898" w:leader="none"/>
                <w:tab w:val="left" w:pos="10040" w:leader="none"/>
              </w:tabs>
              <w:spacing w:lineRule="auto" w:line="240" w:before="0" w:after="0"/>
              <w:rPr>
                <w:color w:val="000000"/>
                <w:sz w:val="26"/>
                <w:szCs w:val="26"/>
                <w:shd w:fill="FFFFFF" w:val="clear"/>
              </w:rPr>
            </w:pPr>
            <w:r>
              <w:rPr>
                <w:color w:val="000000"/>
                <w:sz w:val="26"/>
                <w:szCs w:val="26"/>
                <w:shd w:fill="FFFFFF" w:val="clear"/>
              </w:rPr>
              <w:t>№</w:t>
            </w:r>
            <w:bookmarkStart w:id="2" w:name="номер"/>
            <w:bookmarkEnd w:id="2"/>
          </w:p>
        </w:tc>
      </w:tr>
    </w:tbl>
    <w:p>
      <w:pPr>
        <w:pStyle w:val="Normal"/>
        <w:widowControl w:val="false"/>
        <w:tabs>
          <w:tab w:val="clear" w:pos="720"/>
          <w:tab w:val="left" w:pos="1890" w:leader="none"/>
        </w:tabs>
        <w:spacing w:lineRule="auto" w:line="240" w:before="0" w:after="0"/>
        <w:rPr>
          <w:shd w:fill="FFFFFF" w:val="clear"/>
        </w:rPr>
      </w:pPr>
      <w:r>
        <w:rPr>
          <w:color w:val="000000"/>
          <w:sz w:val="24"/>
          <w:szCs w:val="24"/>
          <w:shd w:fill="FFFFFF" w:val="clear"/>
        </w:rPr>
        <w:tab/>
      </w:r>
    </w:p>
    <w:p>
      <w:pPr>
        <w:pStyle w:val="Normal"/>
        <w:widowControl w:val="false"/>
        <w:spacing w:lineRule="auto" w:line="240" w:before="0" w:after="0"/>
        <w:ind w:left="-1701" w:right="-851" w:hanging="0"/>
        <w:jc w:val="center"/>
        <w:rPr>
          <w:shd w:fill="FFFFFF" w:val="clear"/>
        </w:rPr>
      </w:pPr>
      <w:r>
        <w:rPr>
          <w:color w:val="000000"/>
          <w:sz w:val="26"/>
          <w:szCs w:val="26"/>
          <w:shd w:fill="FFFFFF" w:val="clear"/>
        </w:rPr>
        <w:t>Великий Новгород</w:t>
      </w:r>
    </w:p>
    <w:p>
      <w:pPr>
        <w:pStyle w:val="Normal"/>
        <w:widowControl w:val="false"/>
        <w:spacing w:lineRule="auto" w:line="240" w:before="0" w:after="0"/>
        <w:ind w:left="261" w:hanging="0"/>
        <w:rPr>
          <w:color w:val="000000"/>
          <w:sz w:val="26"/>
          <w:szCs w:val="26"/>
          <w:shd w:fill="FFFFFF" w:val="clear"/>
        </w:rPr>
      </w:pPr>
      <w:r>
        <w:rPr>
          <w:color w:val="000000"/>
          <w:sz w:val="26"/>
          <w:szCs w:val="26"/>
          <w:shd w:fill="FFFFFF" w:val="clear"/>
        </w:rPr>
      </w:r>
    </w:p>
    <w:tbl>
      <w:tblPr>
        <w:tblW w:w="11907" w:type="dxa"/>
        <w:jc w:val="left"/>
        <w:tblInd w:w="-1701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0" w:lastRow="0" w:firstColumn="1" w:lastColumn="0" w:noHBand="0" w:val="00a0"/>
      </w:tblPr>
      <w:tblGrid>
        <w:gridCol w:w="2382"/>
        <w:gridCol w:w="7142"/>
        <w:gridCol w:w="2383"/>
      </w:tblGrid>
      <w:tr>
        <w:trPr/>
        <w:tc>
          <w:tcPr>
            <w:tcW w:w="2382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color w:val="000000"/>
                <w:sz w:val="26"/>
                <w:szCs w:val="26"/>
                <w:shd w:fill="FFFFFF" w:val="clear"/>
              </w:rPr>
            </w:pPr>
            <w:r>
              <w:rPr>
                <w:color w:val="000000"/>
                <w:sz w:val="26"/>
                <w:szCs w:val="26"/>
                <w:shd w:fill="FFFFFF" w:val="clear"/>
              </w:rPr>
            </w:r>
          </w:p>
        </w:tc>
        <w:tc>
          <w:tcPr>
            <w:tcW w:w="7142" w:type="dxa"/>
            <w:tcBorders/>
          </w:tcPr>
          <w:p>
            <w:pPr>
              <w:pStyle w:val="Normal"/>
              <w:widowControl w:val="false"/>
              <w:spacing w:lineRule="auto" w:line="240" w:before="0" w:after="240"/>
              <w:ind w:left="23" w:hanging="0"/>
              <w:jc w:val="center"/>
              <w:rPr>
                <w:shd w:fill="auto" w:val="clear"/>
              </w:rPr>
            </w:pPr>
            <w:r>
              <w:rPr>
                <w:b/>
                <w:bCs/>
                <w:color w:val="000000"/>
                <w:sz w:val="26"/>
                <w:shd w:fill="auto" w:val="clear"/>
              </w:rPr>
              <w:t>О</w:t>
            </w:r>
            <w:r>
              <w:rPr>
                <w:b/>
                <w:color w:val="000000"/>
                <w:sz w:val="26"/>
              </w:rPr>
              <w:t xml:space="preserve"> плате за пользование муниципальным  жилым  помещением (плате за наем)</w:t>
            </w:r>
          </w:p>
        </w:tc>
        <w:tc>
          <w:tcPr>
            <w:tcW w:w="2383" w:type="dxa"/>
            <w:tcBorders/>
          </w:tcPr>
          <w:p>
            <w:pPr>
              <w:pStyle w:val="Normal"/>
              <w:keepNext w:val="true"/>
              <w:keepLines/>
              <w:widowControl w:val="false"/>
              <w:spacing w:lineRule="auto" w:line="240" w:before="0" w:after="0"/>
              <w:rPr>
                <w:b/>
                <w:bCs/>
                <w:color w:val="000000"/>
                <w:sz w:val="26"/>
                <w:szCs w:val="26"/>
                <w:shd w:fill="FFFFFF" w:val="clear"/>
              </w:rPr>
            </w:pPr>
            <w:r>
              <w:rPr>
                <w:b/>
                <w:bCs/>
                <w:color w:val="000000"/>
                <w:sz w:val="26"/>
                <w:szCs w:val="26"/>
                <w:shd w:fill="FFFFFF" w:val="clear"/>
              </w:rPr>
            </w:r>
          </w:p>
        </w:tc>
      </w:tr>
    </w:tbl>
    <w:p>
      <w:pPr>
        <w:pStyle w:val="Normal"/>
        <w:tabs>
          <w:tab w:val="clear" w:pos="720"/>
          <w:tab w:val="left" w:pos="990" w:leader="none"/>
        </w:tabs>
        <w:bidi w:val="0"/>
        <w:spacing w:lineRule="auto" w:line="360" w:before="0" w:after="0"/>
        <w:ind w:left="261" w:firstLine="720"/>
        <w:jc w:val="both"/>
        <w:rPr>
          <w:rFonts w:ascii="Times New Roman" w:hAnsi="Times New Roman"/>
          <w:b/>
          <w:color w:val="000000"/>
          <w:sz w:val="26"/>
        </w:rPr>
      </w:pPr>
      <w:r>
        <w:rPr>
          <w:b w:val="false"/>
          <w:bCs w:val="false"/>
          <w:color w:val="000000"/>
          <w:sz w:val="26"/>
          <w:shd w:fill="auto" w:val="clear"/>
        </w:rPr>
        <w:t>В</w:t>
      </w:r>
      <w:r>
        <w:rPr>
          <w:color w:val="000000"/>
          <w:sz w:val="26"/>
        </w:rPr>
        <w:t xml:space="preserve"> соответствии с Жилищным кодексом Российской Федерации, Методическими указаниями установления размера платы за пользование жилым помещением для нанимателей жилых помещений по договорам социального найма и договорам найма жилых помещений государственного или муниципального жилищного фонда, утвержденными</w:t>
      </w:r>
      <w:hyperlink r:id="rId3">
        <w:r>
          <w:rPr>
            <w:color w:val="000000"/>
            <w:sz w:val="26"/>
          </w:rPr>
          <w:t xml:space="preserve"> приказом Министерства строительства</w:t>
          <w:br/>
          <w:t>и жилищно-коммунального хозяйства Российской Федерации от 27.09.2016</w:t>
          <w:br/>
          <w:t>№ 668/пр, Уставом муниципального образования - городского округа Великий Новгород,</w:t>
        </w:r>
      </w:hyperlink>
      <w:r>
        <w:rPr>
          <w:color w:val="000000"/>
          <w:sz w:val="26"/>
        </w:rPr>
        <w:t xml:space="preserve"> решением Думы Великого Новгорода от 24.03.2005 </w:t>
        <w:br/>
        <w:t xml:space="preserve">№ 97 "О реализации положений Жилищного кодекса Российской Федерации" Администрация Великого Новгорода </w:t>
      </w:r>
      <w:r>
        <w:rPr>
          <w:b/>
          <w:color w:val="000000"/>
          <w:sz w:val="26"/>
        </w:rPr>
        <w:t>постановляет:</w:t>
      </w:r>
    </w:p>
    <w:p>
      <w:pPr>
        <w:pStyle w:val="Normal"/>
        <w:tabs>
          <w:tab w:val="clear" w:pos="720"/>
          <w:tab w:val="left" w:pos="990" w:leader="none"/>
        </w:tabs>
        <w:bidi w:val="0"/>
        <w:spacing w:lineRule="auto" w:line="360" w:before="0" w:after="0"/>
        <w:ind w:left="261" w:firstLine="720"/>
        <w:jc w:val="both"/>
        <w:rPr>
          <w:rFonts w:ascii="Times New Roman" w:hAnsi="Times New Roman"/>
          <w:color w:val="000000"/>
          <w:sz w:val="26"/>
        </w:rPr>
      </w:pPr>
      <w:r>
        <w:rPr>
          <w:color w:val="000000"/>
          <w:sz w:val="26"/>
        </w:rPr>
        <w:t>1. Утвердить прилагаемые:</w:t>
      </w:r>
    </w:p>
    <w:p>
      <w:pPr>
        <w:pStyle w:val="Normal"/>
        <w:tabs>
          <w:tab w:val="clear" w:pos="720"/>
          <w:tab w:val="left" w:pos="990" w:leader="none"/>
        </w:tabs>
        <w:bidi w:val="0"/>
        <w:spacing w:lineRule="auto" w:line="360" w:before="0" w:after="0"/>
        <w:ind w:left="261" w:firstLine="720"/>
        <w:jc w:val="both"/>
        <w:rPr>
          <w:rFonts w:ascii="Times New Roman" w:hAnsi="Times New Roman"/>
          <w:color w:val="000000"/>
          <w:sz w:val="26"/>
        </w:rPr>
      </w:pPr>
      <w:r>
        <w:rPr>
          <w:color w:val="000000"/>
          <w:sz w:val="26"/>
        </w:rPr>
        <w:t xml:space="preserve">Размер платы за пользование жилым помещением (платы за наем) для нанимателей жилых помещений по договорам социального найма и договорам </w:t>
        <w:br/>
        <w:t xml:space="preserve">найма жилых помещений государственного или муниципального жилищного фонда муниципального образования - городского округа Великий Новгород. </w:t>
      </w:r>
    </w:p>
    <w:p>
      <w:pPr>
        <w:pStyle w:val="Normal"/>
        <w:tabs>
          <w:tab w:val="clear" w:pos="720"/>
          <w:tab w:val="left" w:pos="990" w:leader="none"/>
        </w:tabs>
        <w:bidi w:val="0"/>
        <w:spacing w:lineRule="auto" w:line="360" w:before="0" w:after="0"/>
        <w:ind w:left="261" w:firstLine="720"/>
        <w:jc w:val="both"/>
        <w:rPr>
          <w:rFonts w:ascii="Times New Roman" w:hAnsi="Times New Roman"/>
          <w:color w:val="000000"/>
          <w:sz w:val="26"/>
        </w:rPr>
      </w:pPr>
      <w:r>
        <w:rPr>
          <w:color w:val="000000"/>
          <w:sz w:val="26"/>
        </w:rPr>
        <w:t>2. Признать утратившим силу постановление Администрации Великого Новгорода от 2</w:t>
      </w:r>
      <w:r>
        <w:rPr>
          <w:color w:val="000000"/>
          <w:sz w:val="26"/>
        </w:rPr>
        <w:t>7</w:t>
      </w:r>
      <w:r>
        <w:rPr>
          <w:color w:val="000000"/>
          <w:sz w:val="26"/>
        </w:rPr>
        <w:t>.</w:t>
      </w:r>
      <w:r>
        <w:rPr>
          <w:color w:val="000000"/>
          <w:sz w:val="26"/>
        </w:rPr>
        <w:t>12</w:t>
      </w:r>
      <w:r>
        <w:rPr>
          <w:color w:val="000000"/>
          <w:sz w:val="26"/>
        </w:rPr>
        <w:t>.20</w:t>
      </w:r>
      <w:r>
        <w:rPr>
          <w:color w:val="000000"/>
          <w:sz w:val="26"/>
        </w:rPr>
        <w:t>23</w:t>
      </w:r>
      <w:r>
        <w:rPr>
          <w:color w:val="000000"/>
          <w:sz w:val="26"/>
        </w:rPr>
        <w:t xml:space="preserve"> № </w:t>
      </w:r>
      <w:r>
        <w:rPr>
          <w:color w:val="000000"/>
          <w:sz w:val="26"/>
        </w:rPr>
        <w:t>6194</w:t>
      </w:r>
      <w:r>
        <w:rPr>
          <w:color w:val="000000"/>
          <w:sz w:val="26"/>
        </w:rPr>
        <w:t xml:space="preserve"> "О плате за пользование муниципальным жилым помещением (плате за наем)".</w:t>
      </w:r>
    </w:p>
    <w:p>
      <w:pPr>
        <w:pStyle w:val="Normal"/>
        <w:tabs>
          <w:tab w:val="clear" w:pos="720"/>
          <w:tab w:val="left" w:pos="990" w:leader="none"/>
        </w:tabs>
        <w:bidi w:val="0"/>
        <w:spacing w:lineRule="auto" w:line="360" w:before="0" w:after="0"/>
        <w:ind w:left="261" w:firstLine="720"/>
        <w:jc w:val="both"/>
        <w:rPr>
          <w:rFonts w:ascii="Times New Roman" w:hAnsi="Times New Roman"/>
          <w:color w:val="000000"/>
          <w:sz w:val="26"/>
        </w:rPr>
      </w:pPr>
      <w:r>
        <w:rPr>
          <w:color w:val="000000"/>
          <w:sz w:val="26"/>
        </w:rPr>
        <w:t>3.Опубликовать настоящее постановление в газете "Новгород", официальном сетевом издании "Интернет-газета "Новгород" и разместить на официальных сайтах Администрации Великого Новгорода в сети Интернет.</w:t>
      </w:r>
    </w:p>
    <w:p>
      <w:pPr>
        <w:pStyle w:val="Normal"/>
        <w:tabs>
          <w:tab w:val="clear" w:pos="720"/>
          <w:tab w:val="left" w:pos="990" w:leader="none"/>
        </w:tabs>
        <w:spacing w:lineRule="auto" w:line="360" w:before="0" w:after="0"/>
        <w:ind w:firstLine="720"/>
        <w:jc w:val="both"/>
        <w:rPr>
          <w:rFonts w:ascii="Times New Roman" w:hAnsi="Times New Roman"/>
          <w:sz w:val="26"/>
        </w:rPr>
      </w:pPr>
      <w:r>
        <w:rPr>
          <w:color w:val="000000"/>
          <w:sz w:val="26"/>
        </w:rPr>
        <w:t>4. Настоящее постановление вступает в силу с 1 января 202</w:t>
      </w:r>
      <w:r>
        <w:rPr>
          <w:color w:val="000000"/>
          <w:sz w:val="26"/>
        </w:rPr>
        <w:t>6</w:t>
      </w:r>
      <w:r>
        <w:rPr>
          <w:color w:val="000000"/>
          <w:sz w:val="26"/>
        </w:rPr>
        <w:t xml:space="preserve"> года.</w:t>
      </w:r>
    </w:p>
    <w:sectPr>
      <w:headerReference w:type="default" r:id="rId4"/>
      <w:headerReference w:type="first" r:id="rId5"/>
      <w:type w:val="nextPage"/>
      <w:pgSz w:w="11906" w:h="16838"/>
      <w:pgMar w:left="1701" w:right="567" w:gutter="0" w:header="567" w:top="1134" w:footer="0" w:bottom="1134"/>
      <w:pgNumType w:fmt="decimal"/>
      <w:formProt w:val="false"/>
      <w:titlePg/>
      <w:textDirection w:val="lrTb"/>
      <w:docGrid w:type="default" w:linePitch="29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Courier New">
    <w:charset w:val="cc"/>
    <w:family w:val="roman"/>
    <w:pitch w:val="variable"/>
  </w:font>
  <w:font w:name="Arial">
    <w:charset w:val="cc"/>
    <w:family w:val="roman"/>
    <w:pitch w:val="variable"/>
  </w:font>
  <w:font w:name="Tms Rmn">
    <w:altName w:val="Times New Roman"/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jc w:val="center"/>
      <w:rPr>
        <w:sz w:val="24"/>
        <w:szCs w:val="24"/>
      </w:rPr>
    </w:pPr>
    <w:hyperlink r:id="rId1">
      <w:r>
        <w:rPr>
          <w:rFonts w:eastAsia="Times New Roman" w:cs="Times New Roman"/>
          <w:color w:val="000000"/>
          <w:kern w:val="0"/>
          <w:sz w:val="26"/>
          <w:szCs w:val="26"/>
          <w:shd w:fill="auto" w:val="clear"/>
          <w:lang w:val="ru-RU" w:eastAsia="ru-RU" w:bidi="ar-SA"/>
        </w:rPr>
        <w:t xml:space="preserve"> </w:t>
      </w:r>
      <w:r>
        <w:rPr>
          <w:sz w:val="24"/>
          <w:szCs w:val="24"/>
        </w:rPr>
        <w:fldChar w:fldCharType="begin"/>
      </w:r>
      <w:r>
        <w:rPr>
          <w:sz w:val="24"/>
          <w:szCs w:val="24"/>
        </w:rPr>
        <w:instrText xml:space="preserve"> PAGE </w:instrText>
      </w:r>
      <w:r>
        <w:rPr>
          <w:sz w:val="24"/>
          <w:szCs w:val="24"/>
        </w:rPr>
        <w:fldChar w:fldCharType="separate"/>
      </w:r>
      <w:r>
        <w:rPr>
          <w:sz w:val="24"/>
          <w:szCs w:val="24"/>
        </w:rPr>
        <w:t>2</w:t>
      </w:r>
      <w:r>
        <w:rPr>
          <w:sz w:val="24"/>
          <w:szCs w:val="24"/>
        </w:rPr>
        <w:fldChar w:fldCharType="end"/>
      </w:r>
    </w:hyperlink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Style24"/>
      <w:jc w:val="cent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embedSystemFonts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imes New Roman" w:cs="Times New Roman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897181"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ru-RU" w:bidi="ar-SA"/>
    </w:rPr>
  </w:style>
  <w:style w:type="paragraph" w:styleId="1">
    <w:name w:val="Heading 1"/>
    <w:basedOn w:val="Normal"/>
    <w:qFormat/>
    <w:pPr>
      <w:spacing w:before="108" w:after="108"/>
      <w:ind w:hanging="0"/>
      <w:jc w:val="center"/>
    </w:pPr>
    <w:rPr>
      <w:b/>
      <w:color w:val="26282F"/>
      <w:lang w:eastAsia="ar-SA"/>
    </w:rPr>
  </w:style>
  <w:style w:type="paragraph" w:styleId="2">
    <w:name w:val="Heading 2"/>
    <w:basedOn w:val="Style17"/>
    <w:next w:val="Style18"/>
    <w:qFormat/>
    <w:pPr>
      <w:spacing w:before="200" w:after="120"/>
      <w:outlineLvl w:val="1"/>
    </w:pPr>
    <w:rPr>
      <w:b/>
      <w:bCs/>
      <w:sz w:val="32"/>
      <w:szCs w:val="3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2" w:customStyle="1">
    <w:name w:val="Текст выноски Знак"/>
    <w:uiPriority w:val="99"/>
    <w:semiHidden/>
    <w:qFormat/>
    <w:rsid w:val="00897181"/>
    <w:rPr>
      <w:rFonts w:ascii="Tahoma" w:hAnsi="Tahoma" w:cs="Tahoma"/>
      <w:sz w:val="16"/>
      <w:szCs w:val="16"/>
    </w:rPr>
  </w:style>
  <w:style w:type="character" w:styleId="Style13" w:customStyle="1">
    <w:name w:val="Верхний колонтитул Знак"/>
    <w:uiPriority w:val="99"/>
    <w:qFormat/>
    <w:rsid w:val="008e6470"/>
    <w:rPr>
      <w:rFonts w:ascii="Times New Roman" w:hAnsi="Times New Roman"/>
    </w:rPr>
  </w:style>
  <w:style w:type="character" w:styleId="Style14" w:customStyle="1">
    <w:name w:val="Нижний колонтитул Знак"/>
    <w:uiPriority w:val="99"/>
    <w:qFormat/>
    <w:rsid w:val="008e6470"/>
    <w:rPr>
      <w:rFonts w:ascii="Times New Roman" w:hAnsi="Times New Roman"/>
    </w:rPr>
  </w:style>
  <w:style w:type="character" w:styleId="-">
    <w:name w:val="Hyperlink"/>
    <w:rPr>
      <w:color w:val="000080"/>
      <w:u w:val="single"/>
      <w:lang w:val="zxx" w:eastAsia="zxx" w:bidi="zxx"/>
    </w:rPr>
  </w:style>
  <w:style w:type="character" w:styleId="Style15">
    <w:name w:val="Цветовое выделение"/>
    <w:qFormat/>
    <w:rPr>
      <w:b/>
      <w:color w:val="26282F"/>
    </w:rPr>
  </w:style>
  <w:style w:type="character" w:styleId="Style16">
    <w:name w:val="Гипертекстовая ссылка"/>
    <w:basedOn w:val="Style15"/>
    <w:qFormat/>
    <w:rPr>
      <w:rFonts w:ascii="Times New Roman" w:hAnsi="Times New Roman" w:eastAsia="Times New Roman" w:cs="Times New Roman"/>
      <w:color w:val="106BBE"/>
      <w:sz w:val="24"/>
      <w:szCs w:val="24"/>
    </w:rPr>
  </w:style>
  <w:style w:type="paragraph" w:styleId="Style17">
    <w:name w:val="Заголовок"/>
    <w:basedOn w:val="Normal"/>
    <w:next w:val="Style18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8">
    <w:name w:val="Body Text"/>
    <w:basedOn w:val="Normal"/>
    <w:pPr>
      <w:spacing w:lineRule="auto" w:line="276" w:before="0" w:after="140"/>
    </w:pPr>
    <w:rPr/>
  </w:style>
  <w:style w:type="paragraph" w:styleId="Style19">
    <w:name w:val="List"/>
    <w:basedOn w:val="Style18"/>
    <w:pPr/>
    <w:rPr>
      <w:rFonts w:cs="Arial"/>
    </w:rPr>
  </w:style>
  <w:style w:type="paragraph" w:styleId="Style20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Arial"/>
    </w:rPr>
  </w:style>
  <w:style w:type="paragraph" w:styleId="BalloonText">
    <w:name w:val="Balloon Text"/>
    <w:basedOn w:val="Normal"/>
    <w:uiPriority w:val="99"/>
    <w:semiHidden/>
    <w:unhideWhenUsed/>
    <w:qFormat/>
    <w:rsid w:val="00897181"/>
    <w:pPr>
      <w:spacing w:lineRule="auto" w:line="240" w:before="0" w:after="0"/>
    </w:pPr>
    <w:rPr>
      <w:rFonts w:ascii="Tahoma" w:hAnsi="Tahoma" w:cs="Tahoma"/>
      <w:sz w:val="16"/>
      <w:szCs w:val="16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Колонтитул"/>
    <w:basedOn w:val="Normal"/>
    <w:qFormat/>
    <w:pPr/>
    <w:rPr/>
  </w:style>
  <w:style w:type="paragraph" w:styleId="Style24">
    <w:name w:val="Head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5">
    <w:name w:val="Footer"/>
    <w:basedOn w:val="Normal"/>
    <w:uiPriority w:val="99"/>
    <w:unhideWhenUsed/>
    <w:rsid w:val="008e6470"/>
    <w:pPr>
      <w:tabs>
        <w:tab w:val="clear" w:pos="720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8e5b62"/>
    <w:pPr>
      <w:spacing w:before="0" w:after="200"/>
      <w:ind w:left="720" w:hanging="0"/>
      <w:contextualSpacing/>
    </w:pPr>
    <w:rPr/>
  </w:style>
  <w:style w:type="paragraph" w:styleId="11" w:customStyle="1">
    <w:name w:val="Текст1"/>
    <w:basedOn w:val="Normal"/>
    <w:qFormat/>
    <w:rsid w:val="002c2e68"/>
    <w:pPr>
      <w:suppressAutoHyphens w:val="true"/>
      <w:spacing w:lineRule="auto" w:line="240" w:before="0" w:after="0"/>
    </w:pPr>
    <w:rPr>
      <w:rFonts w:ascii="Courier New" w:hAnsi="Courier New" w:cs="Courier New"/>
      <w:sz w:val="20"/>
      <w:szCs w:val="20"/>
      <w:lang w:eastAsia="zh-CN"/>
    </w:rPr>
  </w:style>
  <w:style w:type="paragraph" w:styleId="ConsPlusNormal">
    <w:name w:val="ConsPlusNormal"/>
    <w:qFormat/>
    <w:pPr>
      <w:widowControl w:val="false"/>
      <w:suppressAutoHyphens w:val="true"/>
      <w:bidi w:val="0"/>
      <w:spacing w:lineRule="auto" w:line="276" w:before="0" w:after="200"/>
      <w:jc w:val="left"/>
    </w:pPr>
    <w:rPr>
      <w:rFonts w:ascii="Arial" w:hAnsi="Arial" w:eastAsia="Liberation Serif" w:cs="Liberation Serif"/>
      <w:b w:val="false"/>
      <w:i w:val="false"/>
      <w:strike w:val="false"/>
      <w:dstrike w:val="false"/>
      <w:color w:val="auto"/>
      <w:kern w:val="2"/>
      <w:sz w:val="16"/>
      <w:szCs w:val="24"/>
      <w:u w:val="none"/>
      <w:lang w:val="ru-RU" w:eastAsia="hi-IN" w:bidi="ar-SA"/>
    </w:rPr>
  </w:style>
  <w:style w:type="paragraph" w:styleId="ConsPlusTitle">
    <w:name w:val="ConsPlusTitle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b/>
      <w:color w:val="auto"/>
      <w:kern w:val="0"/>
      <w:sz w:val="20"/>
      <w:szCs w:val="20"/>
      <w:lang w:val="ru-RU" w:eastAsia="ru-RU" w:bidi="ar-SA"/>
    </w:rPr>
  </w:style>
  <w:style w:type="paragraph" w:styleId="Style26">
    <w:name w:val="Нормальный (таблица)"/>
    <w:basedOn w:val="Normal"/>
    <w:qFormat/>
    <w:pPr>
      <w:ind w:hanging="0"/>
    </w:pPr>
    <w:rPr>
      <w:lang w:eastAsia="ar-SA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consultantplus://offline/ref=917884942F368A924804AEE994F77042E5BAD84C509934772678644820FCF33AF18F5AE21285765D5BC0N" TargetMode="External"/><Relationship Id="rId4" Type="http://schemas.openxmlformats.org/officeDocument/2006/relationships/header" Target="header1.xml"/><Relationship Id="rId5" Type="http://schemas.openxmlformats.org/officeDocument/2006/relationships/header" Target="header2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<Relationship Id="rId9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hyperlink" Target="https://login.consultant.ru/link/?req=doc&amp;base=RLAW154&amp;n=110178&amp;dst=100005" TargetMode="Externa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F3847-A9DF-435E-AB95-C09A6399B7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1909</TotalTime>
  <Application>LibreOffice/7.5.5.2$Windows_X86_64 LibreOffice_project/ca8fe7424262805f223b9a2334bc7181abbcbf5e</Application>
  <AppVersion>15.0000</AppVersion>
  <Pages>2</Pages>
  <Words>199</Words>
  <Characters>1371</Characters>
  <CharactersWithSpaces>1564</CharactersWithSpaces>
  <Paragraphs>16</Paragraphs>
  <Company>КонсультантПлюс Версия 4024.00.01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dc:description/>
  <dc:language>ru-RU</dc:language>
  <cp:lastModifiedBy/>
  <cp:lastPrinted>2024-10-14T12:32:14Z</cp:lastPrinted>
  <dcterms:modified xsi:type="dcterms:W3CDTF">2025-12-04T14:50:51Z</dcterms:modified>
  <cp:revision>101</cp:revision>
  <dc:subject/>
  <dc:title>Постановление Администрации Великого Новгорода от 23.03.2023 N 1308(ред. от 02.02.2024)"Об утверждении Порядка предоставления субсидии из бюджета Великого Новгорода на финансовое обеспечение затрат по содержанию комплексов, расположенных в парках, скверах и исторической части Великого Новгорода и обеспечивающих предоставление санитарно-гигиенических услуг, муниципальным унитарным предприятиям, осуществляющим услуги по аварийно-восстановительным работам внутренних инженерных сетей предприятий и организаций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